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7607" w14:textId="7877864B" w:rsidR="00781859" w:rsidRPr="007B5BC4" w:rsidRDefault="00781859" w:rsidP="00662A03">
      <w:pPr>
        <w:snapToGrid w:val="0"/>
        <w:spacing w:before="120" w:after="120" w:line="276" w:lineRule="auto"/>
        <w:ind w:left="142" w:hanging="142"/>
        <w:jc w:val="center"/>
        <w:rPr>
          <w:rFonts w:ascii="Times New Roman" w:hAnsi="Times New Roman" w:cs="Times New Roman"/>
          <w:b/>
          <w:bCs/>
          <w:caps/>
          <w:sz w:val="24"/>
          <w:szCs w:val="24"/>
        </w:rPr>
      </w:pPr>
      <w:r w:rsidRPr="007B5BC4">
        <w:rPr>
          <w:rFonts w:ascii="Times New Roman" w:hAnsi="Times New Roman" w:cs="Times New Roman"/>
          <w:b/>
          <w:bCs/>
          <w:caps/>
          <w:sz w:val="24"/>
          <w:szCs w:val="24"/>
        </w:rPr>
        <w:t xml:space="preserve">Disposizioni urgenti per le infrastrutture </w:t>
      </w:r>
      <w:r w:rsidR="007712D9" w:rsidRPr="007B5BC4">
        <w:rPr>
          <w:rFonts w:ascii="Times New Roman" w:hAnsi="Times New Roman" w:cs="Times New Roman"/>
          <w:b/>
          <w:bCs/>
          <w:caps/>
          <w:sz w:val="24"/>
          <w:szCs w:val="24"/>
        </w:rPr>
        <w:t>E GLI INVESTIMENTI DI INTERESSE STRATEGICO</w:t>
      </w:r>
      <w:r w:rsidR="00B431D2" w:rsidRPr="007B5BC4">
        <w:rPr>
          <w:rFonts w:ascii="Times New Roman" w:hAnsi="Times New Roman" w:cs="Times New Roman"/>
          <w:b/>
          <w:bCs/>
          <w:caps/>
          <w:sz w:val="24"/>
          <w:szCs w:val="24"/>
        </w:rPr>
        <w:t xml:space="preserve"> e per </w:t>
      </w:r>
      <w:r w:rsidR="00BC23D6" w:rsidRPr="007B5BC4">
        <w:rPr>
          <w:rFonts w:ascii="Times New Roman" w:hAnsi="Times New Roman" w:cs="Times New Roman"/>
          <w:b/>
          <w:bCs/>
          <w:caps/>
          <w:sz w:val="24"/>
          <w:szCs w:val="24"/>
        </w:rPr>
        <w:t xml:space="preserve">il processo </w:t>
      </w:r>
      <w:r w:rsidR="00806117" w:rsidRPr="007B5BC4">
        <w:rPr>
          <w:rFonts w:ascii="Times New Roman" w:hAnsi="Times New Roman" w:cs="Times New Roman"/>
          <w:b/>
          <w:bCs/>
          <w:caps/>
          <w:sz w:val="24"/>
          <w:szCs w:val="24"/>
        </w:rPr>
        <w:t>penale</w:t>
      </w:r>
    </w:p>
    <w:p w14:paraId="1715AEA8" w14:textId="77777777" w:rsidR="00781859" w:rsidRPr="007B5BC4" w:rsidRDefault="00781859" w:rsidP="00B371DD">
      <w:pPr>
        <w:snapToGrid w:val="0"/>
        <w:spacing w:before="120" w:after="120" w:line="276" w:lineRule="auto"/>
        <w:jc w:val="both"/>
        <w:rPr>
          <w:rFonts w:ascii="Times New Roman" w:hAnsi="Times New Roman" w:cs="Times New Roman"/>
          <w:b/>
          <w:bCs/>
          <w:sz w:val="24"/>
          <w:szCs w:val="24"/>
        </w:rPr>
      </w:pPr>
    </w:p>
    <w:p w14:paraId="35DA1AC7"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VISTI</w:t>
      </w:r>
      <w:r w:rsidRPr="005A21B5">
        <w:rPr>
          <w:rFonts w:ascii="Times New Roman" w:hAnsi="Times New Roman" w:cs="Times New Roman"/>
          <w:sz w:val="24"/>
          <w:szCs w:val="24"/>
        </w:rPr>
        <w:t xml:space="preserve"> gli articoli 77 e 87, quinto comma, della Costituzione; </w:t>
      </w:r>
    </w:p>
    <w:p w14:paraId="15F96D0B" w14:textId="16532C6F" w:rsidR="00317F41" w:rsidRPr="005A21B5" w:rsidRDefault="00317F41" w:rsidP="00B716CC">
      <w:pPr>
        <w:spacing w:before="120" w:after="120" w:line="276" w:lineRule="auto"/>
        <w:jc w:val="both"/>
        <w:rPr>
          <w:rFonts w:ascii="Times New Roman" w:hAnsi="Times New Roman" w:cs="Times New Roman"/>
          <w:b/>
          <w:bCs/>
          <w:sz w:val="24"/>
          <w:szCs w:val="24"/>
        </w:rPr>
      </w:pPr>
      <w:r w:rsidRPr="005A21B5">
        <w:rPr>
          <w:rFonts w:ascii="Times New Roman" w:hAnsi="Times New Roman" w:cs="Times New Roman"/>
          <w:b/>
          <w:bCs/>
          <w:sz w:val="24"/>
          <w:szCs w:val="24"/>
        </w:rPr>
        <w:t xml:space="preserve">VISTO </w:t>
      </w:r>
      <w:r w:rsidRPr="005A21B5">
        <w:rPr>
          <w:rFonts w:ascii="Times New Roman" w:hAnsi="Times New Roman" w:cs="Times New Roman"/>
          <w:sz w:val="24"/>
          <w:szCs w:val="24"/>
        </w:rPr>
        <w:t>il Regolamento (UE) 2023/2831 della Commissione europea del 13 dicembre 2023;</w:t>
      </w:r>
    </w:p>
    <w:p w14:paraId="0B422388" w14:textId="119ED90C"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VISTA </w:t>
      </w:r>
      <w:r w:rsidRPr="005A21B5">
        <w:rPr>
          <w:rFonts w:ascii="Times New Roman" w:hAnsi="Times New Roman" w:cs="Times New Roman"/>
          <w:sz w:val="24"/>
          <w:szCs w:val="24"/>
        </w:rPr>
        <w:t>la legge 17 dicembre 1971, n. 1158, recante «Collegamento viario e ferroviario fra la Sicilia ed il continente»;</w:t>
      </w:r>
    </w:p>
    <w:p w14:paraId="64141A1B" w14:textId="201CACF1" w:rsidR="00E52ECA" w:rsidRPr="005A21B5" w:rsidRDefault="00E52ECA"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w:t>
      </w:r>
      <w:r w:rsidRPr="005A21B5">
        <w:rPr>
          <w:rFonts w:ascii="Times New Roman" w:eastAsia="Calibri" w:hAnsi="Times New Roman" w:cs="Times New Roman"/>
          <w:bCs/>
          <w:sz w:val="24"/>
          <w:szCs w:val="24"/>
        </w:rPr>
        <w:t>decreto-legge 28 maggio 1981, n. 251, convertito, con modificazioni, dalla legge 29 luglio 1981, n. 394</w:t>
      </w:r>
      <w:r w:rsidRPr="005A21B5">
        <w:rPr>
          <w:rFonts w:ascii="Times New Roman" w:hAnsi="Times New Roman" w:cs="Times New Roman"/>
          <w:sz w:val="24"/>
          <w:szCs w:val="24"/>
        </w:rPr>
        <w:t>, recante «Provvedimenti per il sostegno delle esportazioni italiane»;</w:t>
      </w:r>
    </w:p>
    <w:p w14:paraId="0359C6B7"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VISTA </w:t>
      </w:r>
      <w:r w:rsidRPr="005A21B5">
        <w:rPr>
          <w:rFonts w:ascii="Times New Roman" w:hAnsi="Times New Roman" w:cs="Times New Roman"/>
          <w:sz w:val="24"/>
          <w:szCs w:val="24"/>
        </w:rPr>
        <w:t>la legge 22 dicembre 1986, n. 910, recante «Disposizioni per la formazione del bilancio annuale e pluriennale dello Stato (legge finanziaria 1987)», e, in particolare, l’articolo 2, comma 3;</w:t>
      </w:r>
    </w:p>
    <w:p w14:paraId="7022DF7E" w14:textId="44F1CE45" w:rsidR="00940DD5" w:rsidRPr="005A21B5" w:rsidRDefault="00940DD5"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 del </w:t>
      </w:r>
      <w:r w:rsidR="00B371DD" w:rsidRPr="005A21B5">
        <w:rPr>
          <w:rFonts w:ascii="Times New Roman" w:hAnsi="Times New Roman" w:cs="Times New Roman"/>
          <w:sz w:val="24"/>
          <w:szCs w:val="24"/>
        </w:rPr>
        <w:t>Presidente della Repubblica</w:t>
      </w:r>
      <w:r w:rsidRPr="005A21B5">
        <w:rPr>
          <w:rFonts w:ascii="Times New Roman" w:hAnsi="Times New Roman" w:cs="Times New Roman"/>
          <w:sz w:val="24"/>
          <w:szCs w:val="24"/>
        </w:rPr>
        <w:t xml:space="preserve"> 22 settembre 1988, n. 447, recante approvazione del codice di procedura penale;</w:t>
      </w:r>
    </w:p>
    <w:p w14:paraId="262917B3"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VISTA </w:t>
      </w:r>
      <w:r w:rsidRPr="005A21B5">
        <w:rPr>
          <w:rFonts w:ascii="Times New Roman" w:hAnsi="Times New Roman" w:cs="Times New Roman"/>
          <w:sz w:val="24"/>
          <w:szCs w:val="24"/>
        </w:rPr>
        <w:t>la legge 26 febbraio 1992, n. 211, recante «Interventi nel settore dei sistemi di trasporto rapido di massa»;</w:t>
      </w:r>
    </w:p>
    <w:p w14:paraId="132F318C" w14:textId="5465ECF5" w:rsidR="00C64DEE" w:rsidRPr="005A21B5" w:rsidRDefault="00C64DEE"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25 marzo 1997, n. 67, convertito, con modificazioni, dalla legge 23 maggio 1997, n. 135, recante «Disposizioni urgenti per favorire l'occupazione»;</w:t>
      </w:r>
    </w:p>
    <w:p w14:paraId="4DEB2906"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 legislativo 30 marzo 2001, n. 165, recante «Norme generali sull’ordinamento del lavoro alle dipendenze delle amministrazioni pubbliche»;</w:t>
      </w:r>
    </w:p>
    <w:p w14:paraId="5191A3BF"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VISTO </w:t>
      </w:r>
      <w:r w:rsidRPr="005A21B5">
        <w:rPr>
          <w:rFonts w:ascii="Times New Roman" w:hAnsi="Times New Roman" w:cs="Times New Roman"/>
          <w:sz w:val="24"/>
          <w:szCs w:val="24"/>
        </w:rPr>
        <w:t>il decreto-legge 30 settembre 2003, n. 269, convertito, con modificazioni, dalla legge 24 novembre 2003, n. 326, recante «Disposizioni urgenti per favorire lo sviluppo e per la correzione dell'andamento dei conti pubblici», e, in particolare, l’articolo 5;</w:t>
      </w:r>
    </w:p>
    <w:p w14:paraId="2AA75AF5" w14:textId="23DACC4E" w:rsidR="007B3D5D" w:rsidRPr="005A21B5" w:rsidRDefault="00B51E2B"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w:t>
      </w:r>
      <w:r w:rsidRPr="005A21B5">
        <w:rPr>
          <w:rFonts w:ascii="Times New Roman" w:eastAsia="Calibri" w:hAnsi="Times New Roman" w:cs="Times New Roman"/>
          <w:bCs/>
          <w:sz w:val="24"/>
          <w:szCs w:val="24"/>
        </w:rPr>
        <w:t xml:space="preserve"> legge 23 dicembre 2005, n. 266, </w:t>
      </w:r>
      <w:r w:rsidRPr="005A21B5">
        <w:rPr>
          <w:rFonts w:ascii="Times New Roman" w:hAnsi="Times New Roman" w:cs="Times New Roman"/>
          <w:sz w:val="24"/>
          <w:szCs w:val="24"/>
        </w:rPr>
        <w:t>recante «Disposizioni per la formazione del bilancio annuale e pluriennale dello Stato»</w:t>
      </w:r>
      <w:r w:rsidR="008C322E" w:rsidRPr="005A21B5">
        <w:rPr>
          <w:rFonts w:ascii="Times New Roman" w:hAnsi="Times New Roman" w:cs="Times New Roman"/>
          <w:sz w:val="24"/>
          <w:szCs w:val="24"/>
        </w:rPr>
        <w:t xml:space="preserve">, e, in particolare, l’articolo 1, commi </w:t>
      </w:r>
      <w:r w:rsidR="00443332" w:rsidRPr="005A21B5">
        <w:rPr>
          <w:rFonts w:ascii="Times New Roman" w:hAnsi="Times New Roman" w:cs="Times New Roman"/>
          <w:sz w:val="24"/>
          <w:szCs w:val="24"/>
        </w:rPr>
        <w:t xml:space="preserve">343, </w:t>
      </w:r>
      <w:r w:rsidR="00D94618" w:rsidRPr="005A21B5">
        <w:rPr>
          <w:rFonts w:ascii="Times New Roman" w:hAnsi="Times New Roman" w:cs="Times New Roman"/>
          <w:sz w:val="24"/>
          <w:szCs w:val="24"/>
        </w:rPr>
        <w:t xml:space="preserve">344, 345, </w:t>
      </w:r>
      <w:r w:rsidR="007D00E2" w:rsidRPr="005A21B5">
        <w:rPr>
          <w:rFonts w:ascii="Times New Roman" w:hAnsi="Times New Roman" w:cs="Times New Roman"/>
          <w:sz w:val="24"/>
          <w:szCs w:val="24"/>
        </w:rPr>
        <w:t xml:space="preserve">345-bis, 345-ter, 345-quater, 345-quinquies, </w:t>
      </w:r>
      <w:r w:rsidR="00176AAF" w:rsidRPr="005A21B5">
        <w:rPr>
          <w:rFonts w:ascii="Times New Roman" w:hAnsi="Times New Roman" w:cs="Times New Roman"/>
          <w:sz w:val="24"/>
          <w:szCs w:val="24"/>
        </w:rPr>
        <w:t xml:space="preserve">345-sexies, 345-septies, 345-octies, 345-novies, </w:t>
      </w:r>
      <w:r w:rsidR="008E1915" w:rsidRPr="005A21B5">
        <w:rPr>
          <w:rFonts w:ascii="Times New Roman" w:hAnsi="Times New Roman" w:cs="Times New Roman"/>
          <w:sz w:val="24"/>
          <w:szCs w:val="24"/>
        </w:rPr>
        <w:t xml:space="preserve">345-decies, </w:t>
      </w:r>
      <w:r w:rsidR="000A2A58" w:rsidRPr="005A21B5">
        <w:rPr>
          <w:rFonts w:ascii="Times New Roman" w:hAnsi="Times New Roman" w:cs="Times New Roman"/>
          <w:sz w:val="24"/>
          <w:szCs w:val="24"/>
        </w:rPr>
        <w:t>345-terdecies e 345-quaterdecies</w:t>
      </w:r>
      <w:r w:rsidRPr="005A21B5">
        <w:rPr>
          <w:rFonts w:ascii="Times New Roman" w:hAnsi="Times New Roman" w:cs="Times New Roman"/>
          <w:sz w:val="24"/>
          <w:szCs w:val="24"/>
        </w:rPr>
        <w:t>;</w:t>
      </w:r>
    </w:p>
    <w:p w14:paraId="4DD67705" w14:textId="186C2A36" w:rsidR="007B3D5D" w:rsidRPr="005A21B5" w:rsidRDefault="007B3D5D"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VISTA </w:t>
      </w:r>
      <w:r w:rsidRPr="005A21B5">
        <w:rPr>
          <w:rFonts w:ascii="Times New Roman" w:hAnsi="Times New Roman" w:cs="Times New Roman"/>
          <w:sz w:val="24"/>
          <w:szCs w:val="24"/>
        </w:rPr>
        <w:t>la legge 27 dicembre 2006, n. 296, recante «</w:t>
      </w:r>
      <w:r w:rsidR="00C815CF" w:rsidRPr="005A21B5">
        <w:rPr>
          <w:rFonts w:ascii="Times New Roman" w:hAnsi="Times New Roman" w:cs="Times New Roman"/>
          <w:sz w:val="24"/>
          <w:szCs w:val="24"/>
        </w:rPr>
        <w:t>Disposizioni per la formazione del bilancio annuale e pluriennale dello Stato</w:t>
      </w:r>
      <w:r w:rsidRPr="005A21B5">
        <w:rPr>
          <w:rFonts w:ascii="Times New Roman" w:hAnsi="Times New Roman" w:cs="Times New Roman"/>
          <w:sz w:val="24"/>
          <w:szCs w:val="24"/>
        </w:rPr>
        <w:t>»</w:t>
      </w:r>
      <w:r w:rsidR="005229F1" w:rsidRPr="005A21B5">
        <w:rPr>
          <w:rFonts w:ascii="Times New Roman" w:hAnsi="Times New Roman" w:cs="Times New Roman"/>
          <w:sz w:val="24"/>
          <w:szCs w:val="24"/>
        </w:rPr>
        <w:t xml:space="preserve">, e, in particolare, </w:t>
      </w:r>
      <w:r w:rsidRPr="005A21B5">
        <w:rPr>
          <w:rFonts w:ascii="Times New Roman" w:hAnsi="Times New Roman" w:cs="Times New Roman"/>
          <w:sz w:val="24"/>
          <w:szCs w:val="24"/>
        </w:rPr>
        <w:t>l’articolo 1, comma 932</w:t>
      </w:r>
      <w:r w:rsidR="005229F1" w:rsidRPr="005A21B5">
        <w:rPr>
          <w:rFonts w:ascii="Times New Roman" w:hAnsi="Times New Roman" w:cs="Times New Roman"/>
          <w:sz w:val="24"/>
          <w:szCs w:val="24"/>
        </w:rPr>
        <w:t>;</w:t>
      </w:r>
    </w:p>
    <w:p w14:paraId="5B43A4AF"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 legge 31 dicembre 2009, n. 196, recante «Legge di contabilità e finanza pubblica», e, in particolare, l’articolo 1, comma 3;</w:t>
      </w:r>
    </w:p>
    <w:p w14:paraId="671CC3B2" w14:textId="77777777" w:rsidR="007F19DE" w:rsidRPr="005A21B5" w:rsidRDefault="007F19DE"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6 luglio 2011, n. 98, convertito, con modificazioni, dalla legge 15 luglio 2011, n. 111, recante «Disposizioni urgenti per la stabilizzazione finanziaria», e, in particolare, l’articolo 15, comma 3;</w:t>
      </w:r>
    </w:p>
    <w:p w14:paraId="63AC1C14" w14:textId="2453EDC1" w:rsidR="007F19DE" w:rsidRPr="005A21B5" w:rsidRDefault="007F19DE"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 legislativo 6 settembre 2011, n. 159, recante «Codice delle leggi antimafia e delle misure di prevenzione, nonché nuove disposizioni in materia di documentazione antimafia, a norma degli articoli 1 e 2 della legge 13 agosto 2010, n. 136»;</w:t>
      </w:r>
    </w:p>
    <w:p w14:paraId="0FF5CFDA" w14:textId="55D19BCC" w:rsidR="000F2BA2" w:rsidRPr="005A21B5" w:rsidRDefault="000F2BA2"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 legislativo 14 settembre 2011, n. 162, recante «Attuazione della direttiva 2009/31/CE in materia di stoccaggio geologico del biossido di carbonio, nonché modifica delle </w:t>
      </w:r>
      <w:r w:rsidRPr="005A21B5">
        <w:rPr>
          <w:rFonts w:ascii="Times New Roman" w:hAnsi="Times New Roman" w:cs="Times New Roman"/>
          <w:sz w:val="24"/>
          <w:szCs w:val="24"/>
        </w:rPr>
        <w:lastRenderedPageBreak/>
        <w:t>direttive 85/337/CEE, 2000/60/CE, 2001/80/CE, 2004/35/CE, 2006/12/CE, 2008/1/CE e del Regolamento (CE) n. 1013/2006»;</w:t>
      </w:r>
    </w:p>
    <w:p w14:paraId="317A6EFC" w14:textId="648444F6" w:rsidR="007079FE"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VISTO </w:t>
      </w:r>
      <w:r w:rsidRPr="005A21B5">
        <w:rPr>
          <w:rFonts w:ascii="Times New Roman" w:hAnsi="Times New Roman" w:cs="Times New Roman"/>
          <w:sz w:val="24"/>
          <w:szCs w:val="24"/>
        </w:rPr>
        <w:t>il decreto-legge 6 dicembre 2011, n. 201, convertito, con modificazioni, dalla legge 22 dicembre 2011, n. 214, recante «Disposizioni urgenti per la crescita, l'equità e il consolidamento dei conti pubblici»;</w:t>
      </w:r>
    </w:p>
    <w:p w14:paraId="4BD8A905" w14:textId="6D6DCB24" w:rsidR="007079FE" w:rsidRPr="005A21B5" w:rsidRDefault="007079FE"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15 marzo 2012, n. 21, convertito, con modificazioni, dalla legge 11 maggio 2012, n. 56, recante «Norme in materia di poteri speciali sugli assetti societari nei settori della difesa e della sicurezza nazionale, nonché per le attività di rilevanza strategica nei settori dell'energia, dei trasporti e delle comunicazioni»;</w:t>
      </w:r>
    </w:p>
    <w:p w14:paraId="3DFF0940"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 legge 24 dicembre 2012, n. 228, recante «Disposizioni per la formazione del bilancio annuale e pluriennale dello Stato (Legge di stabilità 2013)», e, in particolare, l’articolo 1, comma 289;</w:t>
      </w:r>
    </w:p>
    <w:p w14:paraId="4CD5F1FE" w14:textId="1AB7D8C7" w:rsidR="003A4436" w:rsidRPr="005A21B5" w:rsidRDefault="003A4436"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 legislativo 8 aprile 2013, n. 39, recante «Disposizioni in materia di </w:t>
      </w:r>
      <w:proofErr w:type="spellStart"/>
      <w:r w:rsidRPr="005A21B5">
        <w:rPr>
          <w:rFonts w:ascii="Times New Roman" w:hAnsi="Times New Roman" w:cs="Times New Roman"/>
          <w:sz w:val="24"/>
          <w:szCs w:val="24"/>
        </w:rPr>
        <w:t>inconferibilità</w:t>
      </w:r>
      <w:proofErr w:type="spellEnd"/>
      <w:r w:rsidRPr="005A21B5">
        <w:rPr>
          <w:rFonts w:ascii="Times New Roman" w:hAnsi="Times New Roman" w:cs="Times New Roman"/>
          <w:sz w:val="24"/>
          <w:szCs w:val="24"/>
        </w:rPr>
        <w:t xml:space="preserve"> e incompatibilità di incarichi presso le pubbliche amministrazioni e presso gli enti privati in controllo pubblico, a norma dell'articolo 1, commi 49 e 50, della legge 6 novembre 2012, n. 190»;</w:t>
      </w:r>
    </w:p>
    <w:p w14:paraId="5542B901" w14:textId="4AA55169" w:rsidR="003A4436"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VISTO </w:t>
      </w:r>
      <w:r w:rsidRPr="005A21B5">
        <w:rPr>
          <w:rFonts w:ascii="Times New Roman" w:hAnsi="Times New Roman" w:cs="Times New Roman"/>
          <w:sz w:val="24"/>
          <w:szCs w:val="24"/>
        </w:rPr>
        <w:t>il decreto-legge 26 aprile 2013, n. 43, convertito, con modificazioni, dalla legge 24 giugno 2013, n. 71, recante «Disposizioni urgenti per il rilancio dell'area industriale di Piombino, di contrasto ad emergenze ambientali, in favore delle zone terremotate del maggio 2012 e per accelerare la ricostruzione in Abruzzo e la realizzazione degli interventi per Expo 2015»;</w:t>
      </w:r>
    </w:p>
    <w:p w14:paraId="75FCF539"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VISTO </w:t>
      </w:r>
      <w:r w:rsidRPr="005A21B5">
        <w:rPr>
          <w:rFonts w:ascii="Times New Roman" w:hAnsi="Times New Roman" w:cs="Times New Roman"/>
          <w:sz w:val="24"/>
          <w:szCs w:val="24"/>
        </w:rPr>
        <w:t>il decreto-legge 23 dicembre 2013, n. 145, convertito, con modificazioni, dalla legge 21 febbraio 2014, n. 9, recante «Interventi urgenti di avvio del piano "Destinazione Italia", per il contenimento delle tariffe elettriche e del gas, per l'internazionalizzazione, lo sviluppo e la digitalizzazione delle imprese, nonché misure per la realizzazione di opere pubbliche ed EXPO 2015», e, in particolare, l’articolo 4, comma 11;</w:t>
      </w:r>
    </w:p>
    <w:p w14:paraId="20AE64F6" w14:textId="77777777" w:rsidR="00CD7358" w:rsidRPr="005A21B5" w:rsidRDefault="00CD7358"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 legge 11 agosto 2014, n. 125, recante «Disciplina generale sulla cooperazione internazionale per lo sviluppo»;</w:t>
      </w:r>
    </w:p>
    <w:p w14:paraId="72DEF2FC" w14:textId="5E81364D" w:rsidR="00CD7358" w:rsidRPr="005A21B5" w:rsidRDefault="00CD7358"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 legge 28 giugno 2016, n. 132, recante «Istituzione del Sistema nazionale a rete per la protezione dell'ambiente e disciplina dell'Istituto superiore per la protezione e la ricerca ambientale»;</w:t>
      </w:r>
    </w:p>
    <w:p w14:paraId="04587330"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 legislativo 19 agosto 2016, n. 175, recante «Testo unico in materia di società a partecipazione pubblica»;</w:t>
      </w:r>
    </w:p>
    <w:p w14:paraId="5047A611"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28 settembre 2018, n. 109, convertito, con modificazioni, dalla legge 16 novembre 2018, n. 130, recante «Disposizioni urgenti per la città di Genova, la sicurezza della rete nazionale delle infrastrutture e dei trasporti, gli eventi sismici del 2016 e 2017, il lavoro e le altre emergenze»;</w:t>
      </w:r>
    </w:p>
    <w:p w14:paraId="67BACBC4"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VISTA </w:t>
      </w:r>
      <w:r w:rsidRPr="005A21B5">
        <w:rPr>
          <w:rFonts w:ascii="Times New Roman" w:hAnsi="Times New Roman" w:cs="Times New Roman"/>
          <w:sz w:val="24"/>
          <w:szCs w:val="24"/>
        </w:rPr>
        <w:t xml:space="preserve">la legge 30 dicembre 2018, n. 145, recante «Bilancio di previsione dello Stato per l'anno finanziario 2019 e bilancio pluriennale per il triennio 2019-2021», e, in particolare, l’articolo 1, comma 891; </w:t>
      </w:r>
    </w:p>
    <w:p w14:paraId="3455DF35" w14:textId="5921C650" w:rsidR="00C64DEE" w:rsidRPr="005A21B5" w:rsidRDefault="00C64DEE"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29 marzo 2019, n. 27, convertito, con modificazioni, dalla legge 21 maggio 2019, n. 44, recante «Disposizioni urgenti in materia di rilancio dei settori agricoli in crisi e del settore ittico nonché di sostegno alle imprese agroalimentari colpite da eventi atmosferici avversi di carattere eccezionale e per l'emergenza nello stabilimento Stoppani, sito nel Comune di Cogoleto»;</w:t>
      </w:r>
    </w:p>
    <w:p w14:paraId="04280622"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lastRenderedPageBreak/>
        <w:t>VISTO</w:t>
      </w:r>
      <w:r w:rsidRPr="005A21B5">
        <w:rPr>
          <w:rFonts w:ascii="Times New Roman" w:hAnsi="Times New Roman" w:cs="Times New Roman"/>
          <w:sz w:val="24"/>
          <w:szCs w:val="24"/>
        </w:rPr>
        <w:t xml:space="preserve"> il decreto-legge 18 aprile 2019, n. 32, convertito, con modificazioni, dalla legge 14 giugno 2019, n. 55, recante «Disposizioni urgenti per il rilancio del settore dei contratti pubblici, per l'accelerazione degli interventi infrastrutturali, di rigenerazione urbana e di ricostruzione a seguito di eventi sismici»;</w:t>
      </w:r>
    </w:p>
    <w:p w14:paraId="66899269" w14:textId="59C3087F" w:rsidR="00B51E2B"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30 dicembre 2019, n. 162, convertito, con modificazioni, dalla legge 28 febbraio 2020, n. 8, recante «Disposizioni urgenti in materia di proroga di termini legislativi, di organizzazione delle pubbliche amministrazioni, nonché di innovazione tecnologica», e, in particolare, l’articolo 13; </w:t>
      </w:r>
    </w:p>
    <w:p w14:paraId="5E412FF4"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11 marzo 2020, n. 16, convertito, con modificazioni, dalla legge 13 marzo 2020, n. 66, recante «Disposizioni urgenti per l'organizzazione e lo svolgimento dei Giochi olimpici e paralimpici invernali Milano Cortina 2026 e delle finali ATP Torino 2021 - 2025, nonché in materia di divieto di attività parassitarie», e, in particolare, l’articolo 3;</w:t>
      </w:r>
    </w:p>
    <w:p w14:paraId="2092495B" w14:textId="1DA78275" w:rsidR="0093595D" w:rsidRPr="005A21B5" w:rsidRDefault="0093595D"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17 marzo 2020, n. 18, convertito, con modificazioni, dalla legge 24 aprile 2020, n. 27, recante «Misure di potenziamento del Servizio sanitario nazionale e di sostegno economico per famiglie, lavoratori e imprese connesse all'emergenza epidemiologica da COVID-19»;</w:t>
      </w:r>
    </w:p>
    <w:p w14:paraId="626C7ACD" w14:textId="1AE2B0DC" w:rsidR="003A4436" w:rsidRPr="005A21B5" w:rsidRDefault="003A4436"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 legislativo 9 giugno 2020, n. 47, recante «Attuazione della direttiva (UE) 2018/410 del Parlamento europeo e del Consiglio del 14 marzo 2018, che modifica la direttiva 2003/87/CE per sostenere una riduzione delle emissioni più efficace sotto il profilo dei costi e promuovere investimenti a favore di basse emissioni di carbonio, nonché adeguamento della normativa nazionale alle disposizioni del regolamento (UE) 2017/2392 relativo alle attività di trasporto aereo e alla decisione (UE) 2015/1814 del Parlamento europeo e del Consiglio del 6 ottobre 2015 relativa all'istituzione e al funzionamento di una riserva stabilizzatrice del mercato»;</w:t>
      </w:r>
    </w:p>
    <w:p w14:paraId="06C0660E"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14 agosto 2020, n. 104, convertito, con modificazioni, dalla legge 13 ottobre 2020, n. 126, recante «Misure urgenti per il sostegno e il rilancio dell'economia», e, in particolare, l’articolo 95;</w:t>
      </w:r>
    </w:p>
    <w:p w14:paraId="1E17CD9A"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25 maggio 2021, n. 73, convertito, con modificazioni, dalla legge 23 luglio 2021, n. 106, recante «Misure urgenti connesse all'emergenza da COVID-19, per le imprese, il lavoro, i giovani, la salute e i servizi territoriali», e, in particolare, l’articolo 1-septies;</w:t>
      </w:r>
    </w:p>
    <w:p w14:paraId="12374E5C"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10 settembre 2021, n. 121, convertito, con modificazioni, dalla legge 9 novembre 2021, n. 156, recante «Disposizioni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ferrovie e delle infrastrutture stradali e autostradali», e, in particolare, l’articolo 2, comma 2-ter;</w:t>
      </w:r>
    </w:p>
    <w:p w14:paraId="3FD94094" w14:textId="0153C66D" w:rsidR="003F7EB8" w:rsidRPr="005A21B5" w:rsidRDefault="003F7EB8"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 legge 30 dicembre 2021, n. 234, recante «Bilancio di previsione dello Stato per l'anno finanziario 2022 e bilancio pluriennale per il triennio 2022-2024»;</w:t>
      </w:r>
    </w:p>
    <w:p w14:paraId="6EC5E8D9" w14:textId="7CAD34A5"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 legge 29 dicembre 2022, n. 197, recante «Bilancio di previsione dello Stato per l'anno finanziario 2023 e bilancio pluriennale per il triennio 2023-2025», e, in particolare, l’articolo 1, commi 475</w:t>
      </w:r>
      <w:r w:rsidR="007832CA" w:rsidRPr="005A21B5">
        <w:rPr>
          <w:rFonts w:ascii="Times New Roman" w:hAnsi="Times New Roman" w:cs="Times New Roman"/>
          <w:sz w:val="24"/>
          <w:szCs w:val="24"/>
        </w:rPr>
        <w:t>,</w:t>
      </w:r>
      <w:r w:rsidRPr="005A21B5">
        <w:rPr>
          <w:rFonts w:ascii="Times New Roman" w:hAnsi="Times New Roman" w:cs="Times New Roman"/>
          <w:sz w:val="24"/>
          <w:szCs w:val="24"/>
        </w:rPr>
        <w:t xml:space="preserve"> 519</w:t>
      </w:r>
      <w:r w:rsidR="007832CA" w:rsidRPr="005A21B5">
        <w:rPr>
          <w:rFonts w:ascii="Times New Roman" w:hAnsi="Times New Roman" w:cs="Times New Roman"/>
          <w:sz w:val="24"/>
          <w:szCs w:val="24"/>
        </w:rPr>
        <w:t xml:space="preserve"> e 632</w:t>
      </w:r>
      <w:r w:rsidRPr="005A21B5">
        <w:rPr>
          <w:rFonts w:ascii="Times New Roman" w:hAnsi="Times New Roman" w:cs="Times New Roman"/>
          <w:sz w:val="24"/>
          <w:szCs w:val="24"/>
        </w:rPr>
        <w:t>;</w:t>
      </w:r>
    </w:p>
    <w:p w14:paraId="2F9C0BC3" w14:textId="1F5A31C7" w:rsidR="001B4DAC"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24 febbraio 2023, n. 13, convertito, con modificazioni, dalla legge 21 aprile 2023, n. 41, recante «Disposizioni urgenti per l'attuazione del Piano nazionale di ripresa e resilienza </w:t>
      </w:r>
      <w:r w:rsidRPr="005A21B5">
        <w:rPr>
          <w:rFonts w:ascii="Times New Roman" w:hAnsi="Times New Roman" w:cs="Times New Roman"/>
          <w:sz w:val="24"/>
          <w:szCs w:val="24"/>
        </w:rPr>
        <w:lastRenderedPageBreak/>
        <w:t xml:space="preserve">(PNRR) e del Piano nazionale degli investimenti complementari al PNRR (PNC), nonché per l'attuazione delle politiche di coesione e della politica agricola comune», e, in particolare, </w:t>
      </w:r>
      <w:r w:rsidR="00DB7B3B" w:rsidRPr="005A21B5">
        <w:rPr>
          <w:rFonts w:ascii="Times New Roman" w:hAnsi="Times New Roman" w:cs="Times New Roman"/>
          <w:sz w:val="24"/>
          <w:szCs w:val="24"/>
        </w:rPr>
        <w:t xml:space="preserve">gli </w:t>
      </w:r>
      <w:r w:rsidRPr="005A21B5">
        <w:rPr>
          <w:rFonts w:ascii="Times New Roman" w:hAnsi="Times New Roman" w:cs="Times New Roman"/>
          <w:sz w:val="24"/>
          <w:szCs w:val="24"/>
        </w:rPr>
        <w:t>articol</w:t>
      </w:r>
      <w:r w:rsidR="00DB7B3B" w:rsidRPr="005A21B5">
        <w:rPr>
          <w:rFonts w:ascii="Times New Roman" w:hAnsi="Times New Roman" w:cs="Times New Roman"/>
          <w:sz w:val="24"/>
          <w:szCs w:val="24"/>
        </w:rPr>
        <w:t xml:space="preserve">i 9 e </w:t>
      </w:r>
      <w:r w:rsidRPr="005A21B5">
        <w:rPr>
          <w:rFonts w:ascii="Times New Roman" w:hAnsi="Times New Roman" w:cs="Times New Roman"/>
          <w:sz w:val="24"/>
          <w:szCs w:val="24"/>
        </w:rPr>
        <w:t>33, commi 5 e 5-quater;</w:t>
      </w:r>
    </w:p>
    <w:p w14:paraId="6A0C237F"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31 marzo 2023, n. 35, convertito, con modificazioni, dalla legge 26 maggio 2023, n. 58, recante «Disposizioni urgenti per la realizzazione del collegamento stabile tra la Sicilia e la Calabria»;</w:t>
      </w:r>
    </w:p>
    <w:p w14:paraId="6EBAB55F"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14 aprile 2023, n. 39, convertito, con modificazioni, dalla legge 13 giugno 2023, n. 68, recante «Disposizioni urgenti per il contrasto della scarsità idrica e per il potenziamento e l'adeguamento delle infrastrutture idriche», e, in particolare, l’articolo 3, comma 7-bis;</w:t>
      </w:r>
    </w:p>
    <w:p w14:paraId="0BCCEF7B"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VISTO </w:t>
      </w:r>
      <w:r w:rsidRPr="005A21B5">
        <w:rPr>
          <w:rFonts w:ascii="Times New Roman" w:hAnsi="Times New Roman" w:cs="Times New Roman"/>
          <w:sz w:val="24"/>
          <w:szCs w:val="24"/>
        </w:rPr>
        <w:t>il decreto legislativo 10 luglio 2023, n. 101, recante «Attuazione della direttiva (UE) 2021/1187 del Parlamento europeo e del Consiglio, del 7 luglio 2021, sulla razionalizzazione delle misure per promuovere la realizzazione della rete transeuropea dei trasporti (TEN-T)»;</w:t>
      </w:r>
    </w:p>
    <w:p w14:paraId="500BFFCC" w14:textId="3DCF9315"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10 agosto 2023, n. 104, convertito, con modificazioni, dalla legge 9 ottobre 2023, n. 136, recante «Disposizioni urgenti a tutela degli utenti, in materia di attività economiche e finanziarie e investimenti strategici», e, in particolare,</w:t>
      </w:r>
      <w:r w:rsidR="00B63BD0" w:rsidRPr="005A21B5">
        <w:rPr>
          <w:rFonts w:ascii="Times New Roman" w:hAnsi="Times New Roman" w:cs="Times New Roman"/>
          <w:sz w:val="24"/>
          <w:szCs w:val="24"/>
        </w:rPr>
        <w:t xml:space="preserve"> gli articoli </w:t>
      </w:r>
      <w:r w:rsidR="00CA2289" w:rsidRPr="005A21B5">
        <w:rPr>
          <w:rFonts w:ascii="Times New Roman" w:hAnsi="Times New Roman" w:cs="Times New Roman"/>
          <w:sz w:val="24"/>
          <w:szCs w:val="24"/>
        </w:rPr>
        <w:t>13-bis e</w:t>
      </w:r>
      <w:r w:rsidRPr="005A21B5">
        <w:rPr>
          <w:rFonts w:ascii="Times New Roman" w:hAnsi="Times New Roman" w:cs="Times New Roman"/>
          <w:sz w:val="24"/>
          <w:szCs w:val="24"/>
        </w:rPr>
        <w:t xml:space="preserve"> 19-bis, comma 1;</w:t>
      </w:r>
    </w:p>
    <w:p w14:paraId="2BEE669C" w14:textId="413E3490" w:rsidR="00863FD0" w:rsidRPr="005A21B5" w:rsidRDefault="00CA00BF"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VISTO</w:t>
      </w:r>
      <w:r w:rsidRPr="005A21B5">
        <w:rPr>
          <w:rFonts w:ascii="Times New Roman" w:hAnsi="Times New Roman" w:cs="Times New Roman"/>
          <w:sz w:val="24"/>
          <w:szCs w:val="24"/>
        </w:rPr>
        <w:t xml:space="preserve"> il decreto-legge 15 novembre 2023, n. 161, convertito, con modificazioni, dalla legge 11 gennaio 2024, n. 2, recante «Disposizioni urgenti per il «Piano Mattei» per lo sviluppo in Stati del Continente africano»;</w:t>
      </w:r>
    </w:p>
    <w:p w14:paraId="6CAA76F3" w14:textId="081C8E93" w:rsidR="00863FD0" w:rsidRPr="005A21B5" w:rsidRDefault="00863FD0"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 legge 30 dicembre 2023 n. 213</w:t>
      </w:r>
      <w:r w:rsidR="00F41220" w:rsidRPr="005A21B5">
        <w:rPr>
          <w:rFonts w:ascii="Times New Roman" w:hAnsi="Times New Roman" w:cs="Times New Roman"/>
          <w:sz w:val="24"/>
          <w:szCs w:val="24"/>
        </w:rPr>
        <w:t xml:space="preserve">, recante «Bilancio di previsione dello Stato per l'anno finanziario 2024 e bilancio pluriennale per il triennio 2024-2026», e, in particolare, </w:t>
      </w:r>
      <w:r w:rsidRPr="005A21B5">
        <w:rPr>
          <w:rFonts w:ascii="Times New Roman" w:hAnsi="Times New Roman" w:cs="Times New Roman"/>
          <w:sz w:val="24"/>
          <w:szCs w:val="24"/>
        </w:rPr>
        <w:t>l’articolo 1, comma 277</w:t>
      </w:r>
      <w:r w:rsidR="00F41220" w:rsidRPr="005A21B5">
        <w:rPr>
          <w:rFonts w:ascii="Times New Roman" w:hAnsi="Times New Roman" w:cs="Times New Roman"/>
          <w:sz w:val="24"/>
          <w:szCs w:val="24"/>
        </w:rPr>
        <w:t>;</w:t>
      </w:r>
      <w:r w:rsidR="00077D6A" w:rsidRPr="005A21B5">
        <w:rPr>
          <w:rFonts w:ascii="Times New Roman" w:hAnsi="Times New Roman" w:cs="Times New Roman"/>
          <w:sz w:val="24"/>
          <w:szCs w:val="24"/>
        </w:rPr>
        <w:t xml:space="preserve"> </w:t>
      </w:r>
    </w:p>
    <w:p w14:paraId="77612533"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RITENUTA</w:t>
      </w:r>
      <w:r w:rsidRPr="005A21B5">
        <w:rPr>
          <w:rFonts w:ascii="Times New Roman" w:hAnsi="Times New Roman" w:cs="Times New Roman"/>
          <w:sz w:val="24"/>
          <w:szCs w:val="24"/>
        </w:rPr>
        <w:t xml:space="preserve"> la straordinaria necessità e urgenza di garantire la tempestiva operatività della società Stretto di Messina S.p.A. e di assicurare il rispetto del cronoprogramma relativo alla realizzazione del collegamento stabile tra la Sicilia e la Calabria;</w:t>
      </w:r>
    </w:p>
    <w:p w14:paraId="64DD0B8A" w14:textId="77777777" w:rsidR="00781859" w:rsidRPr="005A21B5" w:rsidRDefault="00781859" w:rsidP="00B716CC">
      <w:pPr>
        <w:snapToGrid w:val="0"/>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RITENUTA</w:t>
      </w:r>
      <w:r w:rsidRPr="005A21B5">
        <w:rPr>
          <w:rFonts w:ascii="Times New Roman" w:hAnsi="Times New Roman" w:cs="Times New Roman"/>
          <w:sz w:val="24"/>
          <w:szCs w:val="24"/>
        </w:rPr>
        <w:t xml:space="preserve"> la straordinaria necessità e urgenza di procedere a una razionalizzazione dei compiti e delle funzioni attribuite ai commissari straordinari, </w:t>
      </w:r>
      <w:r w:rsidRPr="005A21B5">
        <w:rPr>
          <w:rFonts w:ascii="Times New Roman" w:eastAsia="Times New Roman" w:hAnsi="Times New Roman" w:cs="Times New Roman"/>
          <w:color w:val="000000"/>
          <w:sz w:val="24"/>
          <w:szCs w:val="24"/>
          <w:lang w:eastAsia="it-IT"/>
        </w:rPr>
        <w:t xml:space="preserve">in un’ottica di efficientamento dell’operato degli stessi e dell’utilizzo delle risorse disponibili, nonché di dare nuovo impulso alla realizzazione e al completamento </w:t>
      </w:r>
      <w:r w:rsidRPr="005A21B5">
        <w:rPr>
          <w:rFonts w:ascii="Times New Roman" w:hAnsi="Times New Roman" w:cs="Times New Roman"/>
          <w:sz w:val="24"/>
          <w:szCs w:val="24"/>
        </w:rPr>
        <w:t>di opere rientranti nella rete centrale della rete transeuropea dei trasporti;</w:t>
      </w:r>
    </w:p>
    <w:p w14:paraId="0F108A46" w14:textId="77777777" w:rsidR="00781859" w:rsidRPr="005A21B5" w:rsidRDefault="00781859" w:rsidP="00B716CC">
      <w:pPr>
        <w:snapToGrid w:val="0"/>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RITENUTA </w:t>
      </w:r>
      <w:r w:rsidRPr="005A21B5">
        <w:rPr>
          <w:rFonts w:ascii="Times New Roman" w:hAnsi="Times New Roman" w:cs="Times New Roman"/>
          <w:sz w:val="24"/>
          <w:szCs w:val="24"/>
        </w:rPr>
        <w:t>la straordinaria necessità e urgenza di consentire l’avvio della fase di operatività dell’Autorità per la laguna di Venezia, rafforzandone le capacità tecniche e amministrative;</w:t>
      </w:r>
    </w:p>
    <w:p w14:paraId="08954A71" w14:textId="4DE27046"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 xml:space="preserve">RITENUTA </w:t>
      </w:r>
      <w:r w:rsidRPr="005A21B5">
        <w:rPr>
          <w:rFonts w:ascii="Times New Roman" w:hAnsi="Times New Roman" w:cs="Times New Roman"/>
          <w:sz w:val="24"/>
          <w:szCs w:val="24"/>
        </w:rPr>
        <w:t>la straordinaria necessità e urgenza di assicurare la realizzazione o il completamento di interventi infrastrutturali</w:t>
      </w:r>
      <w:r w:rsidR="008F139B" w:rsidRPr="005A21B5">
        <w:rPr>
          <w:rFonts w:ascii="Times New Roman" w:hAnsi="Times New Roman" w:cs="Times New Roman"/>
          <w:strike/>
          <w:sz w:val="24"/>
          <w:szCs w:val="24"/>
        </w:rPr>
        <w:t xml:space="preserve"> </w:t>
      </w:r>
      <w:r w:rsidRPr="005A21B5">
        <w:rPr>
          <w:rFonts w:ascii="Times New Roman" w:hAnsi="Times New Roman" w:cs="Times New Roman"/>
          <w:strike/>
          <w:sz w:val="24"/>
          <w:szCs w:val="24"/>
        </w:rPr>
        <w:t>nel settore stradale e idrico</w:t>
      </w:r>
      <w:r w:rsidRPr="005A21B5">
        <w:rPr>
          <w:rFonts w:ascii="Times New Roman" w:hAnsi="Times New Roman" w:cs="Times New Roman"/>
          <w:sz w:val="24"/>
          <w:szCs w:val="24"/>
        </w:rPr>
        <w:t>, nonché di quelli necessari al potenziamento delle ferrovie regionali</w:t>
      </w:r>
      <w:r w:rsidR="00020752" w:rsidRPr="005A21B5">
        <w:rPr>
          <w:rFonts w:ascii="Times New Roman" w:hAnsi="Times New Roman" w:cs="Times New Roman"/>
          <w:sz w:val="24"/>
          <w:szCs w:val="24"/>
        </w:rPr>
        <w:t>,</w:t>
      </w:r>
      <w:r w:rsidRPr="005A21B5">
        <w:rPr>
          <w:rFonts w:ascii="Times New Roman" w:hAnsi="Times New Roman" w:cs="Times New Roman"/>
          <w:sz w:val="24"/>
          <w:szCs w:val="24"/>
        </w:rPr>
        <w:t xml:space="preserve"> allo sviluppo dei sistemi di trasporto rapido di massa</w:t>
      </w:r>
      <w:r w:rsidR="00760C41" w:rsidRPr="005A21B5">
        <w:rPr>
          <w:rFonts w:ascii="Times New Roman" w:hAnsi="Times New Roman" w:cs="Times New Roman"/>
          <w:sz w:val="24"/>
          <w:szCs w:val="24"/>
        </w:rPr>
        <w:t xml:space="preserve"> </w:t>
      </w:r>
      <w:r w:rsidR="00020752" w:rsidRPr="005A21B5">
        <w:rPr>
          <w:rFonts w:ascii="Times New Roman" w:hAnsi="Times New Roman" w:cs="Times New Roman"/>
          <w:sz w:val="24"/>
          <w:szCs w:val="24"/>
        </w:rPr>
        <w:t>e al completamento d</w:t>
      </w:r>
      <w:r w:rsidR="003E5029" w:rsidRPr="005A21B5">
        <w:rPr>
          <w:rFonts w:ascii="Times New Roman" w:hAnsi="Times New Roman" w:cs="Times New Roman"/>
          <w:sz w:val="24"/>
          <w:szCs w:val="24"/>
        </w:rPr>
        <w:t xml:space="preserve">ella Scuola Politecnica – Polo Universitario di ingegneria presso il Parco scientifico tecnologico </w:t>
      </w:r>
      <w:r w:rsidR="008F139B" w:rsidRPr="005A21B5">
        <w:rPr>
          <w:rFonts w:ascii="Times New Roman" w:hAnsi="Times New Roman" w:cs="Times New Roman"/>
          <w:sz w:val="24"/>
          <w:szCs w:val="24"/>
        </w:rPr>
        <w:t>di Genova Erzelli</w:t>
      </w:r>
      <w:r w:rsidRPr="005A21B5">
        <w:rPr>
          <w:rFonts w:ascii="Times New Roman" w:hAnsi="Times New Roman" w:cs="Times New Roman"/>
          <w:sz w:val="24"/>
          <w:szCs w:val="24"/>
        </w:rPr>
        <w:t>;</w:t>
      </w:r>
    </w:p>
    <w:p w14:paraId="5F04AB0A" w14:textId="4C0BF575" w:rsidR="002D0608" w:rsidRPr="005A21B5" w:rsidRDefault="002D0608" w:rsidP="00B716CC">
      <w:pPr>
        <w:shd w:val="clear" w:color="auto" w:fill="FFFFFF"/>
        <w:spacing w:after="45" w:line="276" w:lineRule="auto"/>
        <w:jc w:val="both"/>
        <w:textAlignment w:val="baseline"/>
        <w:rPr>
          <w:rFonts w:ascii="Times New Roman" w:hAnsi="Times New Roman" w:cs="Times New Roman"/>
          <w:iCs/>
          <w:color w:val="000000"/>
          <w:kern w:val="0"/>
          <w:sz w:val="24"/>
          <w:szCs w:val="24"/>
        </w:rPr>
      </w:pPr>
      <w:r w:rsidRPr="005A21B5">
        <w:rPr>
          <w:rFonts w:ascii="Times New Roman" w:hAnsi="Times New Roman" w:cs="Times New Roman"/>
          <w:b/>
          <w:bCs/>
          <w:sz w:val="24"/>
          <w:szCs w:val="24"/>
        </w:rPr>
        <w:t>RITENUTA</w:t>
      </w:r>
      <w:r w:rsidRPr="005A21B5">
        <w:rPr>
          <w:rFonts w:ascii="Times New Roman" w:hAnsi="Times New Roman" w:cs="Times New Roman"/>
          <w:iCs/>
          <w:color w:val="000000"/>
          <w:kern w:val="0"/>
          <w:sz w:val="24"/>
          <w:szCs w:val="24"/>
        </w:rPr>
        <w:t xml:space="preserve"> la straordinaria necessità e urgenza di garantire il finanziamento e lo sviluppo di investimenti strategici</w:t>
      </w:r>
      <w:r w:rsidR="0097451D" w:rsidRPr="005A21B5">
        <w:rPr>
          <w:rFonts w:ascii="Times New Roman" w:hAnsi="Times New Roman" w:cs="Times New Roman"/>
          <w:iCs/>
          <w:color w:val="000000"/>
          <w:kern w:val="0"/>
          <w:sz w:val="24"/>
          <w:szCs w:val="24"/>
        </w:rPr>
        <w:t>, sia in ambito nazionale sia con particolare riguardo al continente africano</w:t>
      </w:r>
      <w:r w:rsidR="00B97F8A" w:rsidRPr="005A21B5">
        <w:rPr>
          <w:rFonts w:ascii="Times New Roman" w:hAnsi="Times New Roman" w:cs="Times New Roman"/>
          <w:iCs/>
          <w:color w:val="000000"/>
          <w:kern w:val="0"/>
          <w:sz w:val="24"/>
          <w:szCs w:val="24"/>
        </w:rPr>
        <w:t xml:space="preserve">, </w:t>
      </w:r>
      <w:r w:rsidR="006C7272" w:rsidRPr="005A21B5">
        <w:rPr>
          <w:rFonts w:ascii="Times New Roman" w:hAnsi="Times New Roman" w:cs="Times New Roman"/>
          <w:iCs/>
          <w:color w:val="000000"/>
          <w:kern w:val="0"/>
          <w:sz w:val="24"/>
          <w:szCs w:val="24"/>
        </w:rPr>
        <w:t>all’attuazione del Piano Mattei</w:t>
      </w:r>
      <w:r w:rsidR="00803731" w:rsidRPr="005A21B5">
        <w:rPr>
          <w:rFonts w:ascii="Times New Roman" w:hAnsi="Times New Roman" w:cs="Times New Roman"/>
          <w:iCs/>
          <w:color w:val="000000"/>
          <w:kern w:val="0"/>
          <w:sz w:val="24"/>
          <w:szCs w:val="24"/>
        </w:rPr>
        <w:t>, nonché all’internalizzazione delle imprese italiane</w:t>
      </w:r>
      <w:r w:rsidRPr="005A21B5">
        <w:rPr>
          <w:rFonts w:ascii="Times New Roman" w:hAnsi="Times New Roman" w:cs="Times New Roman"/>
          <w:iCs/>
          <w:color w:val="000000"/>
          <w:kern w:val="0"/>
          <w:sz w:val="24"/>
          <w:szCs w:val="24"/>
        </w:rPr>
        <w:t>;</w:t>
      </w:r>
    </w:p>
    <w:p w14:paraId="13CF5C21" w14:textId="770CC721" w:rsidR="001B215B" w:rsidRPr="005A21B5" w:rsidRDefault="0065639A"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lastRenderedPageBreak/>
        <w:t>RITENUTA</w:t>
      </w:r>
      <w:r w:rsidRPr="005A21B5">
        <w:rPr>
          <w:rFonts w:ascii="Times New Roman" w:hAnsi="Times New Roman" w:cs="Times New Roman"/>
          <w:iCs/>
          <w:color w:val="000000"/>
          <w:kern w:val="0"/>
          <w:sz w:val="24"/>
          <w:szCs w:val="24"/>
        </w:rPr>
        <w:t xml:space="preserve"> la straordinaria necessità e urgenza di introdurre misure volte a garantire la maggiore efficienza del procedimento penale</w:t>
      </w:r>
      <w:r w:rsidR="001B215B" w:rsidRPr="005A21B5">
        <w:rPr>
          <w:rFonts w:ascii="Times New Roman" w:hAnsi="Times New Roman" w:cs="Times New Roman"/>
          <w:iCs/>
          <w:color w:val="000000"/>
          <w:kern w:val="0"/>
          <w:sz w:val="24"/>
          <w:szCs w:val="24"/>
        </w:rPr>
        <w:t xml:space="preserve"> e a tutelare </w:t>
      </w:r>
      <w:r w:rsidR="000F2D80" w:rsidRPr="005A21B5">
        <w:rPr>
          <w:rFonts w:ascii="Times New Roman" w:hAnsi="Times New Roman" w:cs="Times New Roman"/>
          <w:iCs/>
          <w:color w:val="000000"/>
          <w:kern w:val="0"/>
          <w:sz w:val="24"/>
          <w:szCs w:val="24"/>
        </w:rPr>
        <w:t xml:space="preserve">gli </w:t>
      </w:r>
      <w:r w:rsidR="001B215B" w:rsidRPr="005A21B5">
        <w:rPr>
          <w:rFonts w:ascii="Times New Roman" w:hAnsi="Times New Roman" w:cs="Times New Roman"/>
          <w:iCs/>
          <w:color w:val="000000"/>
          <w:kern w:val="0"/>
          <w:sz w:val="24"/>
          <w:szCs w:val="24"/>
        </w:rPr>
        <w:t>investimenti operati dalle associazioni e società sportive</w:t>
      </w:r>
      <w:r w:rsidR="000F2D80" w:rsidRPr="005A21B5">
        <w:rPr>
          <w:rFonts w:ascii="Times New Roman" w:hAnsi="Times New Roman" w:cs="Times New Roman"/>
          <w:iCs/>
          <w:color w:val="000000"/>
          <w:kern w:val="0"/>
          <w:sz w:val="24"/>
          <w:szCs w:val="24"/>
        </w:rPr>
        <w:t>;</w:t>
      </w:r>
    </w:p>
    <w:p w14:paraId="62558E91" w14:textId="77777777" w:rsidR="00781859"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VISTA</w:t>
      </w:r>
      <w:r w:rsidRPr="005A21B5">
        <w:rPr>
          <w:rFonts w:ascii="Times New Roman" w:hAnsi="Times New Roman" w:cs="Times New Roman"/>
          <w:sz w:val="24"/>
          <w:szCs w:val="24"/>
        </w:rPr>
        <w:t xml:space="preserve"> la deliberazione del Consiglio dei ministri, adottata nella riunione del [•];</w:t>
      </w:r>
    </w:p>
    <w:p w14:paraId="2030327C" w14:textId="2CC35129" w:rsidR="009F6FE5" w:rsidRPr="005A21B5" w:rsidRDefault="00781859" w:rsidP="00B716CC">
      <w:pPr>
        <w:spacing w:before="120" w:after="120" w:line="276" w:lineRule="auto"/>
        <w:jc w:val="both"/>
        <w:rPr>
          <w:rFonts w:ascii="Times New Roman" w:hAnsi="Times New Roman" w:cs="Times New Roman"/>
          <w:sz w:val="24"/>
          <w:szCs w:val="24"/>
        </w:rPr>
      </w:pPr>
      <w:r w:rsidRPr="005A21B5">
        <w:rPr>
          <w:rFonts w:ascii="Times New Roman" w:hAnsi="Times New Roman" w:cs="Times New Roman"/>
          <w:b/>
          <w:bCs/>
          <w:sz w:val="24"/>
          <w:szCs w:val="24"/>
        </w:rPr>
        <w:t>SULLA PROPOSTA</w:t>
      </w:r>
      <w:r w:rsidRPr="005A21B5">
        <w:rPr>
          <w:rFonts w:ascii="Times New Roman" w:hAnsi="Times New Roman" w:cs="Times New Roman"/>
          <w:sz w:val="24"/>
          <w:szCs w:val="24"/>
        </w:rPr>
        <w:t xml:space="preserve"> del Presidente del Consiglio dei ministri</w:t>
      </w:r>
      <w:r w:rsidR="00856D22" w:rsidRPr="005A21B5">
        <w:rPr>
          <w:rFonts w:ascii="Times New Roman" w:hAnsi="Times New Roman" w:cs="Times New Roman"/>
          <w:sz w:val="24"/>
          <w:szCs w:val="24"/>
        </w:rPr>
        <w:t>,</w:t>
      </w:r>
      <w:r w:rsidRPr="005A21B5">
        <w:rPr>
          <w:rFonts w:ascii="Times New Roman" w:hAnsi="Times New Roman" w:cs="Times New Roman"/>
          <w:sz w:val="24"/>
          <w:szCs w:val="24"/>
        </w:rPr>
        <w:t xml:space="preserve"> del Ministro delle infrastrutture e dei trasporti, </w:t>
      </w:r>
      <w:r w:rsidR="009F6FE5" w:rsidRPr="005A21B5">
        <w:rPr>
          <w:rFonts w:ascii="Times New Roman" w:hAnsi="Times New Roman" w:cs="Times New Roman"/>
          <w:sz w:val="24"/>
          <w:szCs w:val="24"/>
        </w:rPr>
        <w:t>del Ministro della giustizia</w:t>
      </w:r>
      <w:r w:rsidR="00993C77" w:rsidRPr="005A21B5">
        <w:rPr>
          <w:rFonts w:ascii="Times New Roman" w:hAnsi="Times New Roman" w:cs="Times New Roman"/>
          <w:sz w:val="24"/>
          <w:szCs w:val="24"/>
        </w:rPr>
        <w:t xml:space="preserve">, del Ministro dell’ambiente e della sicurezza energetica, del Ministro degli affari esteri e cooperazione internazionale e </w:t>
      </w:r>
      <w:r w:rsidR="00856D22" w:rsidRPr="005A21B5">
        <w:rPr>
          <w:rFonts w:ascii="Times New Roman" w:hAnsi="Times New Roman" w:cs="Times New Roman"/>
          <w:sz w:val="24"/>
          <w:szCs w:val="24"/>
        </w:rPr>
        <w:t>del Ministro dell’economia e delle finanze</w:t>
      </w:r>
      <w:r w:rsidR="00A01ECE" w:rsidRPr="005A21B5">
        <w:rPr>
          <w:rFonts w:ascii="Times New Roman" w:hAnsi="Times New Roman" w:cs="Times New Roman"/>
          <w:sz w:val="24"/>
          <w:szCs w:val="24"/>
        </w:rPr>
        <w:t>,</w:t>
      </w:r>
      <w:r w:rsidR="00856D22" w:rsidRPr="005A21B5">
        <w:rPr>
          <w:rFonts w:ascii="Times New Roman" w:hAnsi="Times New Roman" w:cs="Times New Roman"/>
          <w:sz w:val="24"/>
          <w:szCs w:val="24"/>
        </w:rPr>
        <w:t xml:space="preserve"> </w:t>
      </w:r>
      <w:r w:rsidRPr="005A21B5">
        <w:rPr>
          <w:rFonts w:ascii="Times New Roman" w:hAnsi="Times New Roman" w:cs="Times New Roman"/>
          <w:sz w:val="24"/>
          <w:szCs w:val="24"/>
        </w:rPr>
        <w:t>di concerto con [•];</w:t>
      </w:r>
    </w:p>
    <w:p w14:paraId="4775BC3C" w14:textId="77777777" w:rsidR="009F6FE5" w:rsidRPr="005A21B5" w:rsidRDefault="009F6FE5" w:rsidP="0044035D">
      <w:pPr>
        <w:spacing w:before="120" w:after="120" w:line="276" w:lineRule="auto"/>
        <w:jc w:val="center"/>
        <w:rPr>
          <w:rFonts w:ascii="Times New Roman" w:hAnsi="Times New Roman" w:cs="Times New Roman"/>
          <w:sz w:val="24"/>
          <w:szCs w:val="24"/>
        </w:rPr>
      </w:pPr>
    </w:p>
    <w:p w14:paraId="6A65B337" w14:textId="30B641FB" w:rsidR="00781859" w:rsidRPr="005A21B5" w:rsidRDefault="00781859" w:rsidP="0044035D">
      <w:pPr>
        <w:spacing w:before="120" w:after="120" w:line="276" w:lineRule="auto"/>
        <w:jc w:val="center"/>
        <w:rPr>
          <w:rFonts w:ascii="Times New Roman" w:hAnsi="Times New Roman" w:cs="Times New Roman"/>
          <w:b/>
          <w:bCs/>
          <w:sz w:val="24"/>
          <w:szCs w:val="24"/>
        </w:rPr>
      </w:pPr>
      <w:r w:rsidRPr="005A21B5">
        <w:rPr>
          <w:rFonts w:ascii="Times New Roman" w:hAnsi="Times New Roman" w:cs="Times New Roman"/>
          <w:b/>
          <w:bCs/>
          <w:sz w:val="24"/>
          <w:szCs w:val="24"/>
        </w:rPr>
        <w:t>EMANA</w:t>
      </w:r>
    </w:p>
    <w:p w14:paraId="5A994568" w14:textId="77777777" w:rsidR="00781859" w:rsidRPr="007B5BC4" w:rsidRDefault="00781859" w:rsidP="0044035D">
      <w:pPr>
        <w:spacing w:before="120" w:after="120" w:line="276" w:lineRule="auto"/>
        <w:jc w:val="center"/>
        <w:rPr>
          <w:rFonts w:ascii="Times New Roman" w:hAnsi="Times New Roman" w:cs="Times New Roman"/>
          <w:sz w:val="24"/>
          <w:szCs w:val="24"/>
        </w:rPr>
      </w:pPr>
      <w:r w:rsidRPr="005A21B5">
        <w:rPr>
          <w:rFonts w:ascii="Times New Roman" w:hAnsi="Times New Roman" w:cs="Times New Roman"/>
          <w:sz w:val="24"/>
          <w:szCs w:val="24"/>
        </w:rPr>
        <w:t>il seguente decreto-legge:</w:t>
      </w:r>
    </w:p>
    <w:p w14:paraId="0C9A52C6" w14:textId="77777777" w:rsidR="0061776D" w:rsidRPr="007B5BC4" w:rsidRDefault="0061776D" w:rsidP="0044035D">
      <w:pPr>
        <w:spacing w:after="0" w:line="276" w:lineRule="auto"/>
        <w:ind w:left="1080" w:right="566" w:hanging="654"/>
        <w:jc w:val="center"/>
        <w:rPr>
          <w:rFonts w:ascii="Times New Roman" w:eastAsia="Calibri" w:hAnsi="Times New Roman" w:cs="Times New Roman"/>
          <w:b/>
          <w:bCs/>
          <w:sz w:val="24"/>
          <w:szCs w:val="24"/>
        </w:rPr>
      </w:pPr>
    </w:p>
    <w:p w14:paraId="13790E77" w14:textId="77777777" w:rsidR="0097451D" w:rsidRPr="007B5BC4" w:rsidRDefault="0097451D" w:rsidP="0044035D">
      <w:pPr>
        <w:spacing w:after="0" w:line="276" w:lineRule="auto"/>
        <w:ind w:left="1080" w:right="566" w:hanging="654"/>
        <w:jc w:val="center"/>
        <w:rPr>
          <w:rFonts w:ascii="Times New Roman" w:eastAsia="Calibri" w:hAnsi="Times New Roman" w:cs="Times New Roman"/>
          <w:b/>
          <w:bCs/>
          <w:sz w:val="24"/>
          <w:szCs w:val="24"/>
        </w:rPr>
      </w:pPr>
    </w:p>
    <w:p w14:paraId="08701CEA" w14:textId="77777777" w:rsidR="0097451D" w:rsidRPr="007B5BC4" w:rsidRDefault="0097451D" w:rsidP="0044035D">
      <w:pPr>
        <w:spacing w:after="0" w:line="276" w:lineRule="auto"/>
        <w:ind w:left="1080" w:right="566" w:hanging="654"/>
        <w:jc w:val="center"/>
        <w:rPr>
          <w:rFonts w:ascii="Times New Roman" w:eastAsia="Calibri" w:hAnsi="Times New Roman" w:cs="Times New Roman"/>
          <w:b/>
          <w:bCs/>
          <w:sz w:val="24"/>
          <w:szCs w:val="24"/>
        </w:rPr>
      </w:pPr>
    </w:p>
    <w:p w14:paraId="0A28F5DD" w14:textId="77777777" w:rsidR="0097451D" w:rsidRPr="007B5BC4" w:rsidRDefault="0097451D" w:rsidP="0044035D">
      <w:pPr>
        <w:spacing w:after="0" w:line="276" w:lineRule="auto"/>
        <w:ind w:left="1080" w:right="566" w:hanging="654"/>
        <w:jc w:val="center"/>
        <w:rPr>
          <w:rFonts w:ascii="Times New Roman" w:eastAsia="Calibri" w:hAnsi="Times New Roman" w:cs="Times New Roman"/>
          <w:b/>
          <w:bCs/>
          <w:sz w:val="24"/>
          <w:szCs w:val="24"/>
        </w:rPr>
      </w:pPr>
    </w:p>
    <w:p w14:paraId="47C4CCB2" w14:textId="77777777" w:rsidR="0097451D" w:rsidRPr="007B5BC4" w:rsidRDefault="0097451D" w:rsidP="0044035D">
      <w:pPr>
        <w:spacing w:after="0" w:line="276" w:lineRule="auto"/>
        <w:ind w:left="1080" w:right="566" w:hanging="654"/>
        <w:jc w:val="center"/>
        <w:rPr>
          <w:rFonts w:ascii="Times New Roman" w:eastAsia="Calibri" w:hAnsi="Times New Roman" w:cs="Times New Roman"/>
          <w:b/>
          <w:bCs/>
          <w:sz w:val="24"/>
          <w:szCs w:val="24"/>
        </w:rPr>
      </w:pPr>
    </w:p>
    <w:p w14:paraId="2EF01B7E" w14:textId="5B0E13F2" w:rsidR="0097451D" w:rsidRPr="007B5BC4" w:rsidRDefault="0097451D" w:rsidP="0044035D">
      <w:pPr>
        <w:tabs>
          <w:tab w:val="left" w:pos="3888"/>
        </w:tabs>
        <w:spacing w:after="0" w:line="276" w:lineRule="auto"/>
        <w:ind w:left="1080" w:right="566" w:hanging="654"/>
        <w:jc w:val="center"/>
        <w:rPr>
          <w:rFonts w:ascii="Times New Roman" w:eastAsia="Calibri" w:hAnsi="Times New Roman" w:cs="Times New Roman"/>
          <w:b/>
          <w:bCs/>
          <w:sz w:val="24"/>
          <w:szCs w:val="24"/>
        </w:rPr>
      </w:pPr>
    </w:p>
    <w:p w14:paraId="1D4A21E6" w14:textId="0FD8D61A" w:rsidR="004B3BCD" w:rsidRPr="007B5BC4" w:rsidRDefault="004B3BCD" w:rsidP="0044035D">
      <w:pPr>
        <w:spacing w:after="0" w:line="276" w:lineRule="auto"/>
        <w:ind w:left="1080" w:right="566" w:hanging="654"/>
        <w:jc w:val="center"/>
        <w:rPr>
          <w:rFonts w:ascii="Times New Roman" w:eastAsia="Calibri" w:hAnsi="Times New Roman" w:cs="Times New Roman"/>
          <w:b/>
          <w:bCs/>
          <w:sz w:val="24"/>
          <w:szCs w:val="24"/>
        </w:rPr>
      </w:pPr>
      <w:r w:rsidRPr="007B5BC4">
        <w:rPr>
          <w:rFonts w:ascii="Times New Roman" w:eastAsia="Calibri" w:hAnsi="Times New Roman" w:cs="Times New Roman"/>
          <w:b/>
          <w:bCs/>
          <w:sz w:val="24"/>
          <w:szCs w:val="24"/>
        </w:rPr>
        <w:t>TITOLO I</w:t>
      </w:r>
    </w:p>
    <w:p w14:paraId="400326C2" w14:textId="71949839" w:rsidR="004B3BCD" w:rsidRPr="007B5BC4" w:rsidRDefault="004B3BCD" w:rsidP="0044035D">
      <w:pPr>
        <w:spacing w:after="0" w:line="276" w:lineRule="auto"/>
        <w:ind w:left="1080" w:right="566" w:hanging="654"/>
        <w:jc w:val="center"/>
        <w:rPr>
          <w:rFonts w:ascii="Times New Roman" w:eastAsia="Calibri" w:hAnsi="Times New Roman" w:cs="Times New Roman"/>
          <w:b/>
          <w:bCs/>
          <w:sz w:val="24"/>
          <w:szCs w:val="24"/>
        </w:rPr>
      </w:pPr>
      <w:r w:rsidRPr="007B5BC4">
        <w:rPr>
          <w:rFonts w:ascii="Times New Roman" w:hAnsi="Times New Roman" w:cs="Times New Roman"/>
          <w:b/>
          <w:bCs/>
          <w:sz w:val="24"/>
          <w:szCs w:val="24"/>
        </w:rPr>
        <w:t>INFRASTRUTTURE DI INTERESSE STRATEGICO</w:t>
      </w:r>
    </w:p>
    <w:p w14:paraId="53F2AEC7" w14:textId="77777777" w:rsidR="004B3BCD" w:rsidRPr="007B5BC4" w:rsidRDefault="004B3BCD" w:rsidP="0044035D">
      <w:pPr>
        <w:spacing w:line="276" w:lineRule="auto"/>
        <w:jc w:val="center"/>
        <w:rPr>
          <w:rFonts w:ascii="Times New Roman" w:eastAsia="Calibri" w:hAnsi="Times New Roman" w:cs="Times New Roman"/>
          <w:b/>
          <w:bCs/>
          <w:sz w:val="24"/>
          <w:szCs w:val="24"/>
        </w:rPr>
      </w:pPr>
    </w:p>
    <w:p w14:paraId="2027DB04" w14:textId="60F145D6" w:rsidR="004B3BCD" w:rsidRPr="007B5BC4" w:rsidRDefault="004B3BCD" w:rsidP="0044035D">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ART. 1</w:t>
      </w:r>
    </w:p>
    <w:p w14:paraId="3409F04F" w14:textId="77777777" w:rsidR="004B3BCD" w:rsidRPr="007B5BC4" w:rsidRDefault="004B3BCD" w:rsidP="0044035D">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B5BC4">
        <w:rPr>
          <w:rFonts w:ascii="Times New Roman" w:eastAsia="Calibri" w:hAnsi="Times New Roman" w:cs="Times New Roman"/>
          <w:b/>
          <w:bCs/>
          <w:i/>
          <w:iCs/>
          <w:kern w:val="0"/>
          <w:sz w:val="24"/>
          <w:szCs w:val="24"/>
          <w14:ligatures w14:val="standardContextual"/>
        </w:rPr>
        <w:t>(</w:t>
      </w:r>
      <w:bookmarkStart w:id="0" w:name="_Hlk166746743"/>
      <w:bookmarkStart w:id="1" w:name="_Hlk141348548"/>
      <w:r w:rsidRPr="007B5BC4">
        <w:rPr>
          <w:rFonts w:ascii="Times New Roman" w:eastAsia="Calibri" w:hAnsi="Times New Roman" w:cs="Times New Roman"/>
          <w:b/>
          <w:bCs/>
          <w:i/>
          <w:iCs/>
          <w:kern w:val="0"/>
          <w:sz w:val="24"/>
          <w:szCs w:val="24"/>
          <w14:ligatures w14:val="standardContextual"/>
        </w:rPr>
        <w:t>Disposizioni urgenti in materia di concessioni autostradali</w:t>
      </w:r>
      <w:bookmarkEnd w:id="0"/>
      <w:r w:rsidRPr="007B5BC4">
        <w:rPr>
          <w:rFonts w:ascii="Times New Roman" w:eastAsia="Calibri" w:hAnsi="Times New Roman" w:cs="Times New Roman"/>
          <w:b/>
          <w:bCs/>
          <w:i/>
          <w:iCs/>
          <w:kern w:val="0"/>
          <w:sz w:val="24"/>
          <w:szCs w:val="24"/>
          <w14:ligatures w14:val="standardContextual"/>
        </w:rPr>
        <w:t>)</w:t>
      </w:r>
    </w:p>
    <w:p w14:paraId="7C54E7F4"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1. All’articolo 13 del decreto-legge 30 dicembre 2019, n. 162, convertito, con modificazioni, dalla legge 28 febbraio 2020, n. 8, relativo all’aggiornamento dei piani economico-finanziari dei concessionari, dopo il comma 3 è inserito il seguente: </w:t>
      </w:r>
    </w:p>
    <w:p w14:paraId="60537300"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«3-bis. Entro il 31 luglio 2024 le società concessionarie per le quali interviene la scadenza del periodo regolatorio quinquennale nell’anno 2024 presentano le proposte di aggiornamento dei piani economico-finanziari predisposti in conformità alle delibere adottate ai sensi dell’articolo 16, comma 1, del decreto-legge 28 settembre 2018, n. 109, convertito, con modificazioni, dalla legge 16 novembre 2018, n. 130, dall’Autorità di regolazione dei trasporti di cui all’articolo 37 del decreto-legge 6 dicembre 2011, n. 201, convertito, con modificazioni, dalla legge 22 dicembre 2011, n. 214, nonché alle disposizioni emanate dal concedente. L’aggiornamento dei piani economico-finanziari, presentati entro il termine del 31 luglio 2024 conformemente alle modalità stabilite, è perfezionato entro e non oltre il 31 dicembre 2024.»</w:t>
      </w:r>
    </w:p>
    <w:p w14:paraId="7C6FAE79"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2. All’articolo 2, comma 2-</w:t>
      </w:r>
      <w:r w:rsidRPr="007B5BC4">
        <w:rPr>
          <w:rFonts w:ascii="Times New Roman" w:eastAsia="Calibri" w:hAnsi="Times New Roman" w:cs="Times New Roman"/>
          <w:i/>
          <w:iCs/>
          <w:kern w:val="0"/>
          <w:sz w:val="24"/>
          <w:szCs w:val="24"/>
          <w14:ligatures w14:val="standardContextual"/>
        </w:rPr>
        <w:t>ter</w:t>
      </w:r>
      <w:r w:rsidRPr="007B5BC4">
        <w:rPr>
          <w:rFonts w:ascii="Times New Roman" w:eastAsia="Calibri" w:hAnsi="Times New Roman" w:cs="Times New Roman"/>
          <w:kern w:val="0"/>
          <w:sz w:val="24"/>
          <w:szCs w:val="24"/>
          <w14:ligatures w14:val="standardContextual"/>
        </w:rPr>
        <w:t xml:space="preserve">, del decreto-legge 10 settembre 2021 n. 121, convertito, con modificazioni, dalla legge 9 novembre 2021, n. 156, sono apportate le seguenti modificazioni: </w:t>
      </w:r>
    </w:p>
    <w:p w14:paraId="6385523D" w14:textId="77777777" w:rsidR="004B3BCD" w:rsidRPr="007B5BC4" w:rsidRDefault="004B3BCD" w:rsidP="00B716CC">
      <w:pPr>
        <w:snapToGrid w:val="0"/>
        <w:spacing w:before="120" w:after="120" w:line="276" w:lineRule="auto"/>
        <w:ind w:left="709" w:hanging="283"/>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a)</w:t>
      </w:r>
      <w:r w:rsidRPr="007B5BC4">
        <w:rPr>
          <w:rFonts w:ascii="Times New Roman" w:eastAsia="Calibri" w:hAnsi="Times New Roman" w:cs="Times New Roman"/>
          <w:kern w:val="0"/>
          <w:sz w:val="24"/>
          <w:szCs w:val="24"/>
          <w14:ligatures w14:val="standardContextual"/>
        </w:rPr>
        <w:tab/>
        <w:t>al primo periodo sono aggiunte, in fine, le seguenti parole: «quantificato sulla base della valutazione documentale e contabile affidata a primaria società di revisione abilitata al rilascio della certificazione di bilancio ai sensi dell'articolo 15, comma 2, della legge 31 gennaio 1992 i cui oneri sono a carico della società ANAS Spa»;</w:t>
      </w:r>
    </w:p>
    <w:p w14:paraId="77795CB3" w14:textId="53A3F21C" w:rsidR="004B3BCD" w:rsidRPr="007B5BC4" w:rsidRDefault="004B3BCD" w:rsidP="00B716CC">
      <w:pPr>
        <w:snapToGrid w:val="0"/>
        <w:spacing w:before="120" w:after="120" w:line="276" w:lineRule="auto"/>
        <w:ind w:left="709" w:hanging="283"/>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lastRenderedPageBreak/>
        <w:t>b)</w:t>
      </w:r>
      <w:r w:rsidRPr="007B5BC4">
        <w:rPr>
          <w:rFonts w:ascii="Times New Roman" w:eastAsia="Calibri" w:hAnsi="Times New Roman" w:cs="Times New Roman"/>
          <w:kern w:val="0"/>
          <w:sz w:val="24"/>
          <w:szCs w:val="24"/>
          <w14:ligatures w14:val="standardContextual"/>
        </w:rPr>
        <w:tab/>
        <w:t>al secondo periodo, le parole «nonché all'entità del corrispettivo da riconoscere secondo i criteri di cui al primo periodo» sono soppresse.</w:t>
      </w:r>
    </w:p>
    <w:p w14:paraId="7F70D828" w14:textId="77777777" w:rsidR="00792485" w:rsidRPr="007B5BC4" w:rsidRDefault="00792485" w:rsidP="00B716CC">
      <w:pPr>
        <w:snapToGrid w:val="0"/>
        <w:spacing w:before="120" w:after="120" w:line="276" w:lineRule="auto"/>
        <w:ind w:left="709" w:hanging="283"/>
        <w:jc w:val="both"/>
        <w:rPr>
          <w:rFonts w:ascii="Times New Roman" w:eastAsia="Calibri" w:hAnsi="Times New Roman" w:cs="Times New Roman"/>
          <w:kern w:val="0"/>
          <w:sz w:val="24"/>
          <w:szCs w:val="24"/>
          <w14:ligatures w14:val="standardContextual"/>
        </w:rPr>
      </w:pPr>
    </w:p>
    <w:p w14:paraId="1CEFB190" w14:textId="77777777" w:rsidR="002332A1" w:rsidRPr="007B5BC4" w:rsidRDefault="002332A1" w:rsidP="00FF59C5">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p>
    <w:p w14:paraId="05E63C63" w14:textId="37323A34" w:rsidR="004B3BCD" w:rsidRPr="007B5BC4" w:rsidRDefault="004B3BCD" w:rsidP="00FF59C5">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 xml:space="preserve">ART. </w:t>
      </w:r>
      <w:r w:rsidR="00035CFF" w:rsidRPr="007B5BC4">
        <w:rPr>
          <w:rFonts w:ascii="Times New Roman" w:eastAsia="Calibri" w:hAnsi="Times New Roman" w:cs="Times New Roman"/>
          <w:b/>
          <w:bCs/>
          <w:kern w:val="0"/>
          <w:sz w:val="24"/>
          <w:szCs w:val="24"/>
          <w14:ligatures w14:val="standardContextual"/>
        </w:rPr>
        <w:t>2</w:t>
      </w:r>
    </w:p>
    <w:p w14:paraId="6CA75118" w14:textId="77777777" w:rsidR="004B3BCD" w:rsidRPr="00FF59C5" w:rsidRDefault="004B3BCD" w:rsidP="00FF59C5">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FF59C5">
        <w:rPr>
          <w:rFonts w:ascii="Times New Roman" w:eastAsia="Calibri" w:hAnsi="Times New Roman" w:cs="Times New Roman"/>
          <w:b/>
          <w:bCs/>
          <w:i/>
          <w:iCs/>
          <w:kern w:val="0"/>
          <w:sz w:val="24"/>
          <w:szCs w:val="24"/>
          <w14:ligatures w14:val="standardContextual"/>
        </w:rPr>
        <w:t>(Disposizioni urgenti per garantire l'operatività della società concessionaria di cui all'articolo 1 della legge 17 dicembre 1971, n. 1158)</w:t>
      </w:r>
    </w:p>
    <w:p w14:paraId="69DEE939"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1. Al decreto-legge 31 marzo 2023, n. 35, convertito, con modificazioni, dalla legge 26 maggio 2023 n. 58, sono apportate le seguenti modificazioni:</w:t>
      </w:r>
    </w:p>
    <w:p w14:paraId="27A611F1" w14:textId="77777777" w:rsidR="004B3BCD" w:rsidRPr="007B5BC4" w:rsidRDefault="004B3BCD" w:rsidP="00B716CC">
      <w:pPr>
        <w:numPr>
          <w:ilvl w:val="0"/>
          <w:numId w:val="5"/>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all’articolo 2, comma 8, primo periodo, le parole: «assentiti con le modalità di cui all’articolo 1, terzo comma, della legge n. 1158 del 1971» sono sostituite dalle seguenti: «assentiti con decreto del Ministro delle infrastrutture e dei trasporti di concerto con il Ministro dell’economia e delle finanze, sentite le Regioni Sicilia e Calabria»;</w:t>
      </w:r>
    </w:p>
    <w:p w14:paraId="290B030C" w14:textId="75268BE0" w:rsidR="004B3BCD" w:rsidRPr="007B5BC4" w:rsidRDefault="004B3BCD" w:rsidP="00B716CC">
      <w:pPr>
        <w:numPr>
          <w:ilvl w:val="0"/>
          <w:numId w:val="5"/>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all’articolo 2, comma 8, lettera b), le parole: «entro il 31 luglio 2024» sono sostituite dalle parole: «anche per</w:t>
      </w:r>
      <w:r w:rsidR="00A67566" w:rsidRPr="007B5BC4">
        <w:rPr>
          <w:rFonts w:ascii="Times New Roman" w:eastAsia="Calibri" w:hAnsi="Times New Roman" w:cs="Times New Roman"/>
          <w:kern w:val="0"/>
          <w:sz w:val="24"/>
          <w:szCs w:val="24"/>
          <w14:ligatures w14:val="standardContextual"/>
        </w:rPr>
        <w:t xml:space="preserve"> </w:t>
      </w:r>
      <w:r w:rsidR="00A67566" w:rsidRPr="002406A5">
        <w:rPr>
          <w:rFonts w:ascii="Times New Roman" w:eastAsia="Calibri" w:hAnsi="Times New Roman" w:cs="Times New Roman"/>
          <w:kern w:val="0"/>
          <w:sz w:val="24"/>
          <w:szCs w:val="24"/>
          <w14:ligatures w14:val="standardContextual"/>
        </w:rPr>
        <w:t>fasi costruttive</w:t>
      </w:r>
      <w:r w:rsidRPr="007B5BC4">
        <w:rPr>
          <w:rFonts w:ascii="Times New Roman" w:eastAsia="Calibri" w:hAnsi="Times New Roman" w:cs="Times New Roman"/>
          <w:kern w:val="0"/>
          <w:sz w:val="24"/>
          <w:szCs w:val="24"/>
          <w14:ligatures w14:val="standardContextual"/>
        </w:rPr>
        <w:t>»;</w:t>
      </w:r>
    </w:p>
    <w:p w14:paraId="2680BB8D" w14:textId="77777777" w:rsidR="004B3BCD" w:rsidRPr="007B5BC4" w:rsidRDefault="004B3BCD" w:rsidP="00B716CC">
      <w:pPr>
        <w:numPr>
          <w:ilvl w:val="0"/>
          <w:numId w:val="5"/>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all’articolo 2, comma 8-quater, secondo periodo:</w:t>
      </w:r>
    </w:p>
    <w:p w14:paraId="33A7E20C" w14:textId="77777777" w:rsidR="004B3BCD" w:rsidRPr="007B5BC4" w:rsidRDefault="004B3BCD" w:rsidP="00B716CC">
      <w:pPr>
        <w:numPr>
          <w:ilvl w:val="0"/>
          <w:numId w:val="6"/>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alla lettera a), dopo le parole: «i prezzi delle tariffe vigenti nell’anno 2023» sono aggiunte le seguenti: «laddove applicabili»;</w:t>
      </w:r>
    </w:p>
    <w:p w14:paraId="4A97A752" w14:textId="77777777" w:rsidR="004B3BCD" w:rsidRPr="007B5BC4" w:rsidRDefault="004B3BCD" w:rsidP="00B716CC">
      <w:pPr>
        <w:numPr>
          <w:ilvl w:val="0"/>
          <w:numId w:val="6"/>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alla lettera b), dopo le parole: «i prezzi delle tariffe vigenti al 31 dicembre 2021» sono aggiunte le seguenti: «laddove applicabili»;</w:t>
      </w:r>
    </w:p>
    <w:p w14:paraId="36FAE123" w14:textId="77777777" w:rsidR="004B3BCD" w:rsidRPr="007B5BC4" w:rsidRDefault="004B3BCD" w:rsidP="00B716CC">
      <w:pPr>
        <w:numPr>
          <w:ilvl w:val="0"/>
          <w:numId w:val="5"/>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all’articolo 2, dopo il comma 8-quinquies è aggiunto il seguente: </w:t>
      </w:r>
    </w:p>
    <w:p w14:paraId="519BC837"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«8-sexies. L’importo aggiornato del contratto con il contraente generale in caso di stipulazione degli atti aggiuntivi di cui all'articolo 4, comma 3, come determinato ai sensi dei commi 8-bis, 8-ter, 8-quater e 8-quinquies e fermo restando il limite di cui all’articolo 4, comma 5, è sottoposto, prima della stipula del relativo atto aggiuntivo, all’asseverazione in merito all’applicazione dei criteri di cui ai predetti commi 8-bis, 8-ter, 8-quater e 8-quinquies di uno o più soggetti di adeguata esperienza e qualificazione professionale nominati dal Ministero delle infrastrutture e dei trasporti».</w:t>
      </w:r>
    </w:p>
    <w:p w14:paraId="605CD147" w14:textId="77777777" w:rsidR="004B3BCD" w:rsidRPr="007B5BC4" w:rsidRDefault="004B3BCD" w:rsidP="00B716CC">
      <w:pPr>
        <w:numPr>
          <w:ilvl w:val="0"/>
          <w:numId w:val="5"/>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all’articolo 4, comma 8, primo periodo:</w:t>
      </w:r>
    </w:p>
    <w:p w14:paraId="63D56ED3" w14:textId="77777777" w:rsidR="004B3BCD" w:rsidRPr="007B5BC4" w:rsidRDefault="004B3BCD" w:rsidP="00B716CC">
      <w:pPr>
        <w:numPr>
          <w:ilvl w:val="0"/>
          <w:numId w:val="7"/>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le parole: </w:t>
      </w:r>
      <w:r w:rsidRPr="007B5BC4">
        <w:rPr>
          <w:rFonts w:ascii="Times New Roman" w:eastAsia="Calibri" w:hAnsi="Times New Roman" w:cs="Times New Roman"/>
          <w:i/>
          <w:iCs/>
          <w:kern w:val="0"/>
          <w:sz w:val="24"/>
          <w:szCs w:val="24"/>
          <w14:ligatures w14:val="standardContextual"/>
        </w:rPr>
        <w:t>«delle società R.F.I. S.p.a. e ANAS S.p.a.»</w:t>
      </w:r>
      <w:r w:rsidRPr="007B5BC4">
        <w:rPr>
          <w:rFonts w:ascii="Times New Roman" w:eastAsia="Calibri" w:hAnsi="Times New Roman" w:cs="Times New Roman"/>
          <w:kern w:val="0"/>
          <w:sz w:val="24"/>
          <w:szCs w:val="24"/>
          <w14:ligatures w14:val="standardContextual"/>
        </w:rPr>
        <w:t xml:space="preserve"> sono sostituite dalle seguenti: «</w:t>
      </w:r>
      <w:r w:rsidRPr="007B5BC4">
        <w:rPr>
          <w:rFonts w:ascii="Times New Roman" w:eastAsia="Calibri" w:hAnsi="Times New Roman" w:cs="Times New Roman"/>
          <w:i/>
          <w:iCs/>
          <w:kern w:val="0"/>
          <w:sz w:val="24"/>
          <w:szCs w:val="24"/>
          <w14:ligatures w14:val="standardContextual"/>
        </w:rPr>
        <w:t>delle società del Gruppo ferrovie dello stato italiane»</w:t>
      </w:r>
      <w:r w:rsidRPr="007B5BC4">
        <w:rPr>
          <w:rFonts w:ascii="Times New Roman" w:eastAsia="Calibri" w:hAnsi="Times New Roman" w:cs="Times New Roman"/>
          <w:kern w:val="0"/>
          <w:sz w:val="24"/>
          <w:szCs w:val="24"/>
          <w14:ligatures w14:val="standardContextual"/>
        </w:rPr>
        <w:t>;</w:t>
      </w:r>
    </w:p>
    <w:p w14:paraId="0E099349" w14:textId="77777777" w:rsidR="004B3BCD" w:rsidRPr="007B5BC4" w:rsidRDefault="004B3BCD" w:rsidP="00B716CC">
      <w:pPr>
        <w:numPr>
          <w:ilvl w:val="0"/>
          <w:numId w:val="7"/>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dopo le parole: «</w:t>
      </w:r>
      <w:r w:rsidRPr="007B5BC4">
        <w:rPr>
          <w:rFonts w:ascii="Times New Roman" w:eastAsia="Calibri" w:hAnsi="Times New Roman" w:cs="Times New Roman"/>
          <w:i/>
          <w:iCs/>
          <w:kern w:val="0"/>
          <w:sz w:val="24"/>
          <w:szCs w:val="24"/>
          <w14:ligatures w14:val="standardContextual"/>
        </w:rPr>
        <w:t>di cui al presente decreto</w:t>
      </w:r>
      <w:r w:rsidRPr="007B5BC4">
        <w:rPr>
          <w:rFonts w:ascii="Times New Roman" w:eastAsia="Calibri" w:hAnsi="Times New Roman" w:cs="Times New Roman"/>
          <w:kern w:val="0"/>
          <w:sz w:val="24"/>
          <w:szCs w:val="24"/>
          <w14:ligatures w14:val="standardContextual"/>
        </w:rPr>
        <w:t>» sono aggiunte le seguenti: «</w:t>
      </w:r>
      <w:r w:rsidRPr="007B5BC4">
        <w:rPr>
          <w:rFonts w:ascii="Times New Roman" w:eastAsia="Calibri" w:hAnsi="Times New Roman" w:cs="Times New Roman"/>
          <w:i/>
          <w:iCs/>
          <w:kern w:val="0"/>
          <w:sz w:val="24"/>
          <w:szCs w:val="24"/>
          <w14:ligatures w14:val="standardContextual"/>
        </w:rPr>
        <w:t>e per l’attività di direzione lavori dell’opera»</w:t>
      </w:r>
      <w:r w:rsidRPr="007B5BC4">
        <w:rPr>
          <w:rFonts w:ascii="Times New Roman" w:eastAsia="Calibri" w:hAnsi="Times New Roman" w:cs="Times New Roman"/>
          <w:kern w:val="0"/>
          <w:sz w:val="24"/>
          <w:szCs w:val="24"/>
          <w14:ligatures w14:val="standardContextual"/>
        </w:rPr>
        <w:t>;</w:t>
      </w:r>
    </w:p>
    <w:p w14:paraId="206409F3" w14:textId="77777777" w:rsidR="004B3BCD" w:rsidRPr="007B5BC4" w:rsidRDefault="004B3BCD" w:rsidP="00B716CC">
      <w:pPr>
        <w:numPr>
          <w:ilvl w:val="0"/>
          <w:numId w:val="7"/>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le parole: «</w:t>
      </w:r>
      <w:r w:rsidRPr="007B5BC4">
        <w:rPr>
          <w:rFonts w:ascii="Times New Roman" w:eastAsia="Calibri" w:hAnsi="Times New Roman" w:cs="Times New Roman"/>
          <w:i/>
          <w:iCs/>
          <w:kern w:val="0"/>
          <w:sz w:val="24"/>
          <w:szCs w:val="24"/>
          <w14:ligatures w14:val="standardContextual"/>
        </w:rPr>
        <w:t>cento unità</w:t>
      </w:r>
      <w:r w:rsidRPr="007B5BC4">
        <w:rPr>
          <w:rFonts w:ascii="Times New Roman" w:eastAsia="Calibri" w:hAnsi="Times New Roman" w:cs="Times New Roman"/>
          <w:kern w:val="0"/>
          <w:sz w:val="24"/>
          <w:szCs w:val="24"/>
          <w14:ligatures w14:val="standardContextual"/>
        </w:rPr>
        <w:t>» sono sostituite dalle seguenti: «</w:t>
      </w:r>
      <w:r w:rsidRPr="007B5BC4">
        <w:rPr>
          <w:rFonts w:ascii="Times New Roman" w:eastAsia="Calibri" w:hAnsi="Times New Roman" w:cs="Times New Roman"/>
          <w:i/>
          <w:iCs/>
          <w:kern w:val="0"/>
          <w:sz w:val="24"/>
          <w:szCs w:val="24"/>
          <w14:ligatures w14:val="standardContextual"/>
        </w:rPr>
        <w:t>centocinquanta unità»</w:t>
      </w:r>
      <w:r w:rsidRPr="007B5BC4">
        <w:rPr>
          <w:rFonts w:ascii="Times New Roman" w:eastAsia="Calibri" w:hAnsi="Times New Roman" w:cs="Times New Roman"/>
          <w:kern w:val="0"/>
          <w:sz w:val="24"/>
          <w:szCs w:val="24"/>
          <w14:ligatures w14:val="standardContextual"/>
        </w:rPr>
        <w:t>.</w:t>
      </w:r>
    </w:p>
    <w:bookmarkEnd w:id="1"/>
    <w:p w14:paraId="0B402759" w14:textId="77777777" w:rsidR="002332A1" w:rsidRPr="007B5BC4" w:rsidRDefault="002332A1" w:rsidP="00C718C7">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p>
    <w:p w14:paraId="351EF79C" w14:textId="77777777" w:rsidR="00D31D18" w:rsidRPr="007B5BC4" w:rsidRDefault="00D31D18" w:rsidP="00C718C7">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p>
    <w:p w14:paraId="47E6A79F" w14:textId="460E38E7" w:rsidR="004B3BCD" w:rsidRPr="007B5BC4" w:rsidRDefault="004B3BCD" w:rsidP="00C718C7">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 xml:space="preserve">ART. </w:t>
      </w:r>
      <w:r w:rsidR="00035CFF" w:rsidRPr="007B5BC4">
        <w:rPr>
          <w:rFonts w:ascii="Times New Roman" w:eastAsia="Calibri" w:hAnsi="Times New Roman" w:cs="Times New Roman"/>
          <w:b/>
          <w:bCs/>
          <w:kern w:val="0"/>
          <w:sz w:val="24"/>
          <w:szCs w:val="24"/>
          <w14:ligatures w14:val="standardContextual"/>
        </w:rPr>
        <w:t>3</w:t>
      </w:r>
    </w:p>
    <w:p w14:paraId="76B947BD" w14:textId="2AA9BE9A" w:rsidR="004B3BCD" w:rsidRPr="007B5BC4" w:rsidRDefault="004B3BCD" w:rsidP="00C718C7">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B5BC4">
        <w:rPr>
          <w:rFonts w:ascii="Times New Roman" w:eastAsia="Calibri" w:hAnsi="Times New Roman" w:cs="Times New Roman"/>
          <w:b/>
          <w:bCs/>
          <w:i/>
          <w:iCs/>
          <w:kern w:val="0"/>
          <w:sz w:val="24"/>
          <w:szCs w:val="24"/>
          <w14:ligatures w14:val="standardContextual"/>
        </w:rPr>
        <w:t>(Disposizioni urgenti in materia di commissari straordinari)</w:t>
      </w:r>
    </w:p>
    <w:p w14:paraId="3D021AB7" w14:textId="77777777" w:rsidR="004B3BCD" w:rsidRPr="007B5BC4" w:rsidRDefault="004B3BCD" w:rsidP="00B716CC">
      <w:pPr>
        <w:spacing w:before="120" w:after="120" w:line="276" w:lineRule="auto"/>
        <w:jc w:val="both"/>
        <w:rPr>
          <w:rFonts w:ascii="Times New Roman" w:eastAsia="Calibri" w:hAnsi="Times New Roman" w:cs="Times New Roman"/>
          <w:kern w:val="0"/>
          <w:sz w:val="24"/>
          <w:szCs w:val="24"/>
          <w14:ligatures w14:val="standardContextual"/>
        </w:rPr>
      </w:pPr>
      <w:bookmarkStart w:id="2" w:name="_Hlk163464896"/>
      <w:r w:rsidRPr="007B5BC4">
        <w:rPr>
          <w:rFonts w:ascii="Times New Roman" w:eastAsia="Calibri" w:hAnsi="Times New Roman" w:cs="Times New Roman"/>
          <w:kern w:val="0"/>
          <w:sz w:val="24"/>
          <w:szCs w:val="24"/>
          <w14:ligatures w14:val="standardContextual"/>
        </w:rPr>
        <w:lastRenderedPageBreak/>
        <w:t xml:space="preserve">1. Con decreto del Presidente del Consiglio dei ministri, da adottare entro novanta giorni dalla data di entrata in vigore della presente disposizione, su proposta del Ministro delle infrastrutture e dei trasporti, sentito il Ministro dell'economia e delle finanze, è adottato un piano di razionalizzazione dei compiti e delle funzioni attribuite ai commissari straordinari nominati per la realizzazione degli interventi infrastrutturali prioritari ai sensi dell'articolo 4, comma 1, del decreto-legge 18 aprile 2019, n. 32, convertito, con modificazioni, dalla legge 14 giugno 2019, n. 55, nonché ai commissari straordinari, individuati nell’Allegato I, nominati in virtù di specifiche disposizioni di legge. </w:t>
      </w:r>
    </w:p>
    <w:p w14:paraId="14C7BE77" w14:textId="77777777" w:rsidR="004B3BCD" w:rsidRPr="007B5BC4" w:rsidRDefault="004B3BCD" w:rsidP="00B716CC">
      <w:pPr>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2. Nel rispetto degli specifici vincoli derivanti da disposizioni di legge, il piano di razionalizzazione di cui al comma 1 è predisposto nel rispetto dei seguenti criteri:</w:t>
      </w:r>
    </w:p>
    <w:p w14:paraId="4DE2A8DB" w14:textId="77777777" w:rsidR="004B3BCD" w:rsidRPr="007B5BC4" w:rsidRDefault="004B3BCD" w:rsidP="00B716CC">
      <w:pPr>
        <w:numPr>
          <w:ilvl w:val="1"/>
          <w:numId w:val="8"/>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riduzione del numero dei commissari nominati ai sensi dell'articolo 4, comma 1, del decreto-legge 18 aprile 2019, n. 32, tenuto dell’omogeneità del settore di intervento, dell’ambito territoriale di riferimento, della rilevanza economica degli interventi e delle esigenze di razionalizzazione delle strutture di supporto;</w:t>
      </w:r>
    </w:p>
    <w:p w14:paraId="0B74BA4B" w14:textId="77777777" w:rsidR="004B3BCD" w:rsidRPr="007B5BC4" w:rsidRDefault="004B3BCD" w:rsidP="00B716CC">
      <w:pPr>
        <w:numPr>
          <w:ilvl w:val="1"/>
          <w:numId w:val="8"/>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individuazione, in relazione agli interventi di cui al comma 1, di eventuali lotti funzionali aggiuntivi da affidare alla competenza del commissario straordinario, tenuto conto dello stato di avanzamento dell’opera e delle specifiche caratteristiche di complessità progettuale, difficoltà esecutiva o attuativa, complessità delle procedure tecnico-amministrative o impatto sul tessuto socio-economico a livello nazionale, regionale o locale, dei predetti lotti; </w:t>
      </w:r>
    </w:p>
    <w:p w14:paraId="181B95D5" w14:textId="77777777" w:rsidR="004B3BCD" w:rsidRPr="007B5BC4" w:rsidRDefault="004B3BCD" w:rsidP="00B716CC">
      <w:pPr>
        <w:numPr>
          <w:ilvl w:val="1"/>
          <w:numId w:val="8"/>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revoca dei commissari nominati, nell’ambito degli interventi di cui al comma 1, sulla base di decreti del Presidente del Consiglio dei ministri, tenuto conto dei risultati e degli obiettivi raggiunti, nonché del carico amministrativo loro attribuito, e nomina di nuovi commissari, sulla base di esigenze di razionalizzazione dell’azione amministrativa dei commissari straordinari.</w:t>
      </w:r>
    </w:p>
    <w:p w14:paraId="754FC3E6" w14:textId="77777777" w:rsidR="004B3BCD" w:rsidRPr="007B5BC4" w:rsidRDefault="004B3BCD" w:rsidP="00B716CC">
      <w:pPr>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3. Qualora si rendano necessarie modifiche al decreto di cui al comma 1, si procede, nel rispetto dei criteri individuati dal comma 2 e con le medesime modalità di cui al presente articolo anche oltre il termine di novanta giorni individuato dal comma 1.</w:t>
      </w:r>
    </w:p>
    <w:p w14:paraId="101B3F40" w14:textId="77777777" w:rsidR="004B3BCD" w:rsidRPr="007B5BC4" w:rsidRDefault="004B3BCD" w:rsidP="00B716CC">
      <w:pPr>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4. Dall’attuazione dei commi 1, 2 e 3 non devono derivare nuovi o maggiori oneri a carico della finanza pubblica.</w:t>
      </w:r>
    </w:p>
    <w:p w14:paraId="005634EC" w14:textId="0FE0B69D"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5. Con uno o più decreti del Presidente </w:t>
      </w:r>
      <w:r w:rsidRPr="002406A5">
        <w:rPr>
          <w:rFonts w:ascii="Times New Roman" w:eastAsia="Calibri" w:hAnsi="Times New Roman" w:cs="Times New Roman"/>
          <w:kern w:val="0"/>
          <w:sz w:val="24"/>
          <w:szCs w:val="24"/>
          <w14:ligatures w14:val="standardContextual"/>
        </w:rPr>
        <w:t>del</w:t>
      </w:r>
      <w:r w:rsidR="00975E4A" w:rsidRPr="002406A5">
        <w:rPr>
          <w:rFonts w:ascii="Times New Roman" w:eastAsia="Calibri" w:hAnsi="Times New Roman" w:cs="Times New Roman"/>
          <w:kern w:val="0"/>
          <w:sz w:val="24"/>
          <w:szCs w:val="24"/>
          <w14:ligatures w14:val="standardContextual"/>
        </w:rPr>
        <w:t>la Repubblica</w:t>
      </w:r>
      <w:r w:rsidRPr="007B5BC4">
        <w:rPr>
          <w:rFonts w:ascii="Times New Roman" w:eastAsia="Calibri" w:hAnsi="Times New Roman" w:cs="Times New Roman"/>
          <w:kern w:val="0"/>
          <w:sz w:val="24"/>
          <w:szCs w:val="24"/>
          <w14:ligatures w14:val="standardContextual"/>
        </w:rPr>
        <w:t xml:space="preserve">, da adottare entro il 31 dicembre 2025, su proposta del Ministro delle infrastrutture e dei trasporti, sentito il Ministro dell'economia e delle finanze, </w:t>
      </w:r>
      <w:bookmarkStart w:id="3" w:name="_Hlk163647486"/>
      <w:r w:rsidRPr="007B5BC4">
        <w:rPr>
          <w:rFonts w:ascii="Times New Roman" w:eastAsia="Calibri" w:hAnsi="Times New Roman" w:cs="Times New Roman"/>
          <w:kern w:val="0"/>
          <w:sz w:val="24"/>
          <w:szCs w:val="24"/>
          <w14:ligatures w14:val="standardContextual"/>
        </w:rPr>
        <w:t>sono individuate le opere relative ai progetti di cui all’articolo 1, comma 1, del decreto legislativo 10 luglio 2023, n. 101, nonché le relative opere connesse o strumentali</w:t>
      </w:r>
      <w:bookmarkEnd w:id="3"/>
      <w:r w:rsidRPr="007B5BC4">
        <w:rPr>
          <w:rFonts w:ascii="Times New Roman" w:eastAsia="Calibri" w:hAnsi="Times New Roman" w:cs="Times New Roman"/>
          <w:kern w:val="0"/>
          <w:sz w:val="24"/>
          <w:szCs w:val="24"/>
          <w14:ligatures w14:val="standardContextual"/>
        </w:rPr>
        <w:t xml:space="preserve">, per la cui realizzazione o il cui completamento si rende necessaria la nomina di uno o più commissari straordinari, che è disposta con i medesimi decreti. I commissari straordinari nominati ai sensi del primo periodo sono individuati nell’ambito del personale dirigenziale di RFI S.p.a. e ANAS S.p.a. dotati di comprovata esperienza nel settore, senza nuovi o maggiori oneri a carico della finanza pubblica. I commissari straordinari nominati ai sensi del primo periodo possono avvalersi delle strutture della società di provenienza e delle amministrazioni centrali e periferiche dello Stato e degli altri enti territoriali. Le amministrazioni interessate provvedono agli adempimenti previsti con le risorse umane, strumentali e finanziarie disponibili a legislazione vigente, senza nuovi o maggiori oneri a carico della finanza pubblica. Qualora si rendano necessarie modifiche ai decreti di cui al primo periodo in relazione all’individuazione delle opere ovvero alla sostituzione dei Commissari, si procede con le medesime modalità di cui al presente comma anche oltre i termini di cui al primo </w:t>
      </w:r>
      <w:r w:rsidRPr="007B5BC4">
        <w:rPr>
          <w:rFonts w:ascii="Times New Roman" w:eastAsia="Calibri" w:hAnsi="Times New Roman" w:cs="Times New Roman"/>
          <w:kern w:val="0"/>
          <w:sz w:val="24"/>
          <w:szCs w:val="24"/>
          <w14:ligatures w14:val="standardContextual"/>
        </w:rPr>
        <w:lastRenderedPageBreak/>
        <w:t>periodo. Ai commissari straordinari nominati ai sensi del primo periodo si applicano le disposizioni di cui all’articolo 4, commi 1, quarto, quinto e sesto periodo, 2, ad esclusione del quinto periodo, 2-bis, 3, 3-bis, e 4, primo periodo, del decreto-legge 18 aprile 2019, n. 32, convertito, con modificazioni, dalla legge 14 giugno 2019</w:t>
      </w:r>
      <w:r w:rsidRPr="002406A5">
        <w:rPr>
          <w:rFonts w:ascii="Times New Roman" w:eastAsia="Calibri" w:hAnsi="Times New Roman" w:cs="Times New Roman"/>
          <w:kern w:val="0"/>
          <w:sz w:val="24"/>
          <w:szCs w:val="24"/>
          <w14:ligatures w14:val="standardContextual"/>
        </w:rPr>
        <w:t>, n. 55.</w:t>
      </w:r>
      <w:r w:rsidR="00776175" w:rsidRPr="002406A5">
        <w:rPr>
          <w:rFonts w:ascii="Times New Roman" w:eastAsia="Calibri" w:hAnsi="Times New Roman" w:cs="Times New Roman"/>
          <w:kern w:val="0"/>
          <w:sz w:val="24"/>
          <w:szCs w:val="24"/>
          <w14:ligatures w14:val="standardContextual"/>
        </w:rPr>
        <w:t xml:space="preserve"> I Commissari straordinari nominati ai sensi del primo periodo sono autorizzati ad avviare le procedure di affidamento della progettazione o dell’esecuzione dei lavori soltanto nel caso in cui le risorse finalizzate all’opera siano sufficienti alla sua realizzazione, salvo che si tratti di opera inserita nei contratti di programma sottoscritti dal Ministero delle infrastrutture e dei trasporti con RFI S.p.a. o ANAS S.p.a..</w:t>
      </w:r>
    </w:p>
    <w:p w14:paraId="0638FDD5"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6. Al fine di coordinare l’attività dei Commissari straordinari di cui ai commi 1 e 5 e di monitorare la realizzazione delle relative opere commissariate, nonché di predisporre il piano di razionalizzazione di cui al comma 1, è istituito, presso il Ministero delle infrastrutture e dei trasporti, l’Osservatorio sui commissariamenti infrastrutturali. </w:t>
      </w:r>
    </w:p>
    <w:p w14:paraId="536E7B6B" w14:textId="6476837B"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7. La composizione dell’Osservatorio di cui al comma 6, le relative modalità di funzionamento, la nomina dei componenti e gli eventuali compensi sono definiti con uno o più decreti del Ministro delle infrastrutture e dei trasporti, </w:t>
      </w:r>
      <w:r w:rsidR="00C36FDF" w:rsidRPr="002406A5">
        <w:rPr>
          <w:rFonts w:ascii="Times New Roman" w:eastAsia="Calibri" w:hAnsi="Times New Roman" w:cs="Times New Roman"/>
          <w:kern w:val="0"/>
          <w:sz w:val="24"/>
          <w:szCs w:val="24"/>
          <w14:ligatures w14:val="standardContextual"/>
        </w:rPr>
        <w:t xml:space="preserve">di concerto con il Ministro dell’economia e delle finanze, </w:t>
      </w:r>
      <w:r w:rsidRPr="002406A5">
        <w:rPr>
          <w:rFonts w:ascii="Times New Roman" w:eastAsia="Calibri" w:hAnsi="Times New Roman" w:cs="Times New Roman"/>
          <w:kern w:val="0"/>
          <w:sz w:val="24"/>
          <w:szCs w:val="24"/>
          <w14:ligatures w14:val="standardContextual"/>
        </w:rPr>
        <w:t>da adot</w:t>
      </w:r>
      <w:r w:rsidRPr="007B5BC4">
        <w:rPr>
          <w:rFonts w:ascii="Times New Roman" w:eastAsia="Calibri" w:hAnsi="Times New Roman" w:cs="Times New Roman"/>
          <w:kern w:val="0"/>
          <w:sz w:val="24"/>
          <w:szCs w:val="24"/>
          <w14:ligatures w14:val="standardContextual"/>
        </w:rPr>
        <w:t xml:space="preserve">tare entro trenta giorni dalla data di entrata in vigore del presente decreto-legge. L’Osservatorio può avvalersi di esperti, consulenti e stipulare convenzioni di collaborazione con enti pubblici e privati nonché delle risorse umane, strumentali e finanziarie del Ministero delle infrastrutture e dei trasporti disponibili a legislazione vigente. Per le finalità di cui al presente comma è autorizzata la spesa di euro 500.000 annui a decorrere dall’anno 2024. </w:t>
      </w:r>
    </w:p>
    <w:p w14:paraId="35A1A599" w14:textId="47BA90A1" w:rsidR="00792485"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8. Agli oneri derivanti dal comma 7, pari a euro 500.000 annui a decorrere dall’anno 2024, si provvede mediante corrispondente riduzione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delle infrastrutture e dei trasporti. </w:t>
      </w:r>
    </w:p>
    <w:bookmarkEnd w:id="2"/>
    <w:p w14:paraId="3DA0CC84" w14:textId="77777777" w:rsidR="00792485" w:rsidRPr="007B5BC4" w:rsidRDefault="00792485" w:rsidP="00B716CC">
      <w:pPr>
        <w:snapToGrid w:val="0"/>
        <w:spacing w:before="120" w:after="120" w:line="276" w:lineRule="auto"/>
        <w:jc w:val="both"/>
        <w:outlineLvl w:val="1"/>
        <w:rPr>
          <w:rFonts w:ascii="Times New Roman" w:eastAsia="Calibri" w:hAnsi="Times New Roman" w:cs="Times New Roman"/>
          <w:b/>
          <w:bCs/>
          <w:kern w:val="0"/>
          <w:sz w:val="24"/>
          <w:szCs w:val="24"/>
          <w14:ligatures w14:val="standardContextual"/>
        </w:rPr>
      </w:pPr>
    </w:p>
    <w:p w14:paraId="15CD9A34" w14:textId="585E8853" w:rsidR="004B3BCD" w:rsidRPr="007B5BC4" w:rsidRDefault="004B3BCD" w:rsidP="004522DC">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 xml:space="preserve">ART. </w:t>
      </w:r>
      <w:r w:rsidR="00035CFF" w:rsidRPr="007B5BC4">
        <w:rPr>
          <w:rFonts w:ascii="Times New Roman" w:eastAsia="Calibri" w:hAnsi="Times New Roman" w:cs="Times New Roman"/>
          <w:b/>
          <w:bCs/>
          <w:kern w:val="0"/>
          <w:sz w:val="24"/>
          <w:szCs w:val="24"/>
          <w14:ligatures w14:val="standardContextual"/>
        </w:rPr>
        <w:t>4</w:t>
      </w:r>
    </w:p>
    <w:p w14:paraId="0BA17251" w14:textId="77777777" w:rsidR="004B3BCD" w:rsidRPr="007B5BC4" w:rsidRDefault="004B3BCD" w:rsidP="004522DC">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B5BC4">
        <w:rPr>
          <w:rFonts w:ascii="Times New Roman" w:eastAsia="Calibri" w:hAnsi="Times New Roman" w:cs="Times New Roman"/>
          <w:b/>
          <w:bCs/>
          <w:i/>
          <w:iCs/>
          <w:kern w:val="0"/>
          <w:sz w:val="24"/>
          <w:szCs w:val="24"/>
          <w14:ligatures w14:val="standardContextual"/>
        </w:rPr>
        <w:t>(Disposizioni urgenti per il rafforzamento della capacità tecnica e amministrativa dell’Autorità per la laguna di Venezia e della Fondazione lirico-sinfonica Petruzzelli e Teatri di Bari)</w:t>
      </w:r>
    </w:p>
    <w:p w14:paraId="69FBC911" w14:textId="5B4B52A5" w:rsidR="00EE1A69" w:rsidRPr="007B5BC4" w:rsidRDefault="00EE1A69" w:rsidP="00B716CC">
      <w:pPr>
        <w:snapToGrid w:val="0"/>
        <w:spacing w:after="120"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1. Fermo restando quanto previsto dall’articolo 95, comma 15, del decreto-legge 14 agosto 2020, n. 104, convertito con modificazioni dalla legge 13 ottobre 2020, n. 126, al fine di consentire l’avvio delle attività prodromiche all’operatività dell’Autorità per la Laguna di Venezia, istituita con l’articolo 95 del medesimo decreto-legge n. 104 del 2020, e di predisporre gli atti necessari al funzionamento della stessa, il </w:t>
      </w:r>
      <w:r w:rsidRPr="002406A5">
        <w:rPr>
          <w:rFonts w:ascii="Times New Roman" w:hAnsi="Times New Roman" w:cs="Times New Roman"/>
          <w:sz w:val="24"/>
          <w:szCs w:val="24"/>
        </w:rPr>
        <w:t>Presidente, in fase di prima applicazione,</w:t>
      </w:r>
      <w:r w:rsidRPr="007B5BC4">
        <w:rPr>
          <w:rFonts w:ascii="Times New Roman" w:hAnsi="Times New Roman" w:cs="Times New Roman"/>
          <w:sz w:val="24"/>
          <w:szCs w:val="24"/>
        </w:rPr>
        <w:t xml:space="preserve"> è autorizzato </w:t>
      </w:r>
      <w:r w:rsidRPr="002406A5">
        <w:rPr>
          <w:rFonts w:ascii="Times New Roman" w:hAnsi="Times New Roman" w:cs="Times New Roman"/>
          <w:sz w:val="24"/>
          <w:szCs w:val="24"/>
        </w:rPr>
        <w:t>a conferire gli incarichi di livello dirigenziale generale previsti dall’articolo 95, comma 10, del decreto-legge n. 104 del 2020, anche in deroga alle percentuali di cui all’articolo 19, comma 6, del decreto legislativo 30 marzo 2001, n. 165 e a stipulare contratti di collaborazione, della durata massima</w:t>
      </w:r>
      <w:r w:rsidRPr="007B5BC4">
        <w:rPr>
          <w:rFonts w:ascii="Times New Roman" w:hAnsi="Times New Roman" w:cs="Times New Roman"/>
          <w:sz w:val="24"/>
          <w:szCs w:val="24"/>
        </w:rPr>
        <w:t xml:space="preserve"> di un anno e per un importo non superiore a euro 40.000,00 per ciascun incarico, e a deliberare il bilancio del primo esercizio finanziario entro 45 giorni dall’insediamento, previo parere del Collegio dei revisori dei conti.</w:t>
      </w:r>
    </w:p>
    <w:p w14:paraId="7B5D8815" w14:textId="45DB371F" w:rsidR="00EE1A69" w:rsidRPr="007B5BC4" w:rsidRDefault="00EE1A69" w:rsidP="00B716CC">
      <w:pPr>
        <w:snapToGrid w:val="0"/>
        <w:spacing w:after="120"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2. Per le medesime esigenze di cui al comma 1, il Presidente dell’Autorità </w:t>
      </w:r>
      <w:r w:rsidRPr="002406A5">
        <w:rPr>
          <w:rFonts w:ascii="Times New Roman" w:hAnsi="Times New Roman" w:cs="Times New Roman"/>
          <w:sz w:val="24"/>
          <w:szCs w:val="24"/>
        </w:rPr>
        <w:t>può avviare procedure straordinarie di mobilità volontaria a cui può partecipare il personal</w:t>
      </w:r>
      <w:r w:rsidRPr="007B5BC4">
        <w:rPr>
          <w:rFonts w:ascii="Times New Roman" w:hAnsi="Times New Roman" w:cs="Times New Roman"/>
          <w:sz w:val="24"/>
          <w:szCs w:val="24"/>
        </w:rPr>
        <w:t xml:space="preserve">e di amministrazioni pubbliche di </w:t>
      </w:r>
      <w:r w:rsidRPr="007B5BC4">
        <w:rPr>
          <w:rFonts w:ascii="Times New Roman" w:hAnsi="Times New Roman" w:cs="Times New Roman"/>
          <w:sz w:val="24"/>
          <w:szCs w:val="24"/>
        </w:rPr>
        <w:lastRenderedPageBreak/>
        <w:t xml:space="preserve">cui all’articolo 1, comma 2, del decreto legislativo 30 marzo 2001, n. 165, </w:t>
      </w:r>
      <w:r w:rsidRPr="00A67B49">
        <w:rPr>
          <w:rFonts w:ascii="Times New Roman" w:hAnsi="Times New Roman" w:cs="Times New Roman"/>
          <w:sz w:val="24"/>
          <w:szCs w:val="24"/>
        </w:rPr>
        <w:t>finalizzat</w:t>
      </w:r>
      <w:r w:rsidR="004551F5" w:rsidRPr="00A67B49">
        <w:rPr>
          <w:rFonts w:ascii="Times New Roman" w:hAnsi="Times New Roman" w:cs="Times New Roman"/>
          <w:sz w:val="24"/>
          <w:szCs w:val="24"/>
        </w:rPr>
        <w:t>e</w:t>
      </w:r>
      <w:r w:rsidRPr="00A67B49">
        <w:rPr>
          <w:rFonts w:ascii="Times New Roman" w:hAnsi="Times New Roman" w:cs="Times New Roman"/>
          <w:sz w:val="24"/>
          <w:szCs w:val="24"/>
        </w:rPr>
        <w:t xml:space="preserve"> all’inserimento del medesimo personale nei propri ruoli, in misura non superiore al cinquanta per cento del</w:t>
      </w:r>
      <w:r w:rsidRPr="007B5BC4">
        <w:rPr>
          <w:rFonts w:ascii="Times New Roman" w:hAnsi="Times New Roman" w:cs="Times New Roman"/>
          <w:sz w:val="24"/>
          <w:szCs w:val="24"/>
        </w:rPr>
        <w:t xml:space="preserve"> contingente di cui all’articolo 95, comma 10, del decreto-legge 14 agosto 2020, n. 104, convertito con modificazioni dalla legge 13 ottobre 2020, n. 126.</w:t>
      </w:r>
    </w:p>
    <w:p w14:paraId="0B5802B6"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3. Agli oneri derivanti dall’attuazione dei commi 1 e 2 si provvede a valere sulle risorse autorizzate dall’articolo 95, comma 16, del decreto-legge 14 agosto 2020, n. 104, convertito con modificazioni con legge 13 ottobre 2020, n. 126, come rifinanziate dalla legge 30 dicembre 2020, n. 178.</w:t>
      </w:r>
    </w:p>
    <w:p w14:paraId="4A6CBD09"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4. Al fine di rafforzarne l'operatività istituzionale, in linea con le iniziative di rivitalizzazione socio-culturale e di promozione e diffusione di iniziative artistiche e culturali del territorio di riferimento, è disposto, per l'anno 2024, a favore della Fondazione lirico-sinfonica Petruzzelli e Teatri di Bari un contributo straordinario di euro 750.000. Agli oneri derivanti dal presente comma, si provvede mediante corrispondente riduzione del Fondo di cui all’articolo 1, comma 632, della legge 29 dicembre 2022, n. 197.</w:t>
      </w:r>
    </w:p>
    <w:p w14:paraId="489CCF98" w14:textId="77777777" w:rsidR="004B3BCD" w:rsidRPr="007B5BC4" w:rsidRDefault="004B3BCD" w:rsidP="00B716CC">
      <w:pPr>
        <w:snapToGrid w:val="0"/>
        <w:spacing w:before="120" w:after="120" w:line="276" w:lineRule="auto"/>
        <w:jc w:val="both"/>
        <w:rPr>
          <w:rFonts w:ascii="Times New Roman" w:eastAsia="Times New Roman" w:hAnsi="Times New Roman" w:cs="Times New Roman"/>
          <w:color w:val="000000"/>
          <w:kern w:val="0"/>
          <w:sz w:val="24"/>
          <w:szCs w:val="24"/>
          <w:lang w:eastAsia="it-IT"/>
          <w14:ligatures w14:val="standardContextual"/>
        </w:rPr>
      </w:pPr>
    </w:p>
    <w:p w14:paraId="1C49409A" w14:textId="77777777" w:rsidR="00792485" w:rsidRPr="007B5BC4" w:rsidRDefault="00792485" w:rsidP="007D7FEB">
      <w:pPr>
        <w:snapToGrid w:val="0"/>
        <w:spacing w:before="120" w:after="120" w:line="276" w:lineRule="auto"/>
        <w:jc w:val="center"/>
        <w:rPr>
          <w:rFonts w:ascii="Times New Roman" w:eastAsia="Times New Roman" w:hAnsi="Times New Roman" w:cs="Times New Roman"/>
          <w:color w:val="000000"/>
          <w:kern w:val="0"/>
          <w:sz w:val="24"/>
          <w:szCs w:val="24"/>
          <w:lang w:eastAsia="it-IT"/>
          <w14:ligatures w14:val="standardContextual"/>
        </w:rPr>
      </w:pPr>
    </w:p>
    <w:p w14:paraId="42D4E571" w14:textId="3A2F333D" w:rsidR="004B3BCD" w:rsidRPr="007B5BC4" w:rsidRDefault="004B3BCD" w:rsidP="007D7FEB">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 xml:space="preserve">ART. </w:t>
      </w:r>
      <w:r w:rsidR="00035CFF" w:rsidRPr="007B5BC4">
        <w:rPr>
          <w:rFonts w:ascii="Times New Roman" w:eastAsia="Calibri" w:hAnsi="Times New Roman" w:cs="Times New Roman"/>
          <w:b/>
          <w:bCs/>
          <w:kern w:val="0"/>
          <w:sz w:val="24"/>
          <w:szCs w:val="24"/>
          <w14:ligatures w14:val="standardContextual"/>
        </w:rPr>
        <w:t>5</w:t>
      </w:r>
    </w:p>
    <w:p w14:paraId="7C72F71D" w14:textId="77777777" w:rsidR="004B3BCD" w:rsidRPr="007B5BC4" w:rsidRDefault="004B3BCD" w:rsidP="007D7FEB">
      <w:pPr>
        <w:snapToGrid w:val="0"/>
        <w:spacing w:before="120" w:after="120" w:line="276" w:lineRule="auto"/>
        <w:jc w:val="center"/>
        <w:outlineLvl w:val="1"/>
        <w:rPr>
          <w:rFonts w:ascii="Times New Roman" w:eastAsia="Times New Roman" w:hAnsi="Times New Roman" w:cs="Times New Roman"/>
          <w:b/>
          <w:bCs/>
          <w:i/>
          <w:iCs/>
          <w:smallCaps/>
          <w:color w:val="000000"/>
          <w:kern w:val="0"/>
          <w:sz w:val="24"/>
          <w:szCs w:val="24"/>
          <w:lang w:eastAsia="it-IT"/>
          <w14:ligatures w14:val="standardContextual"/>
        </w:rPr>
      </w:pPr>
      <w:r w:rsidRPr="007B5BC4">
        <w:rPr>
          <w:rFonts w:ascii="Times New Roman" w:eastAsia="Calibri" w:hAnsi="Times New Roman" w:cs="Times New Roman"/>
          <w:b/>
          <w:bCs/>
          <w:i/>
          <w:iCs/>
          <w:kern w:val="0"/>
          <w:sz w:val="24"/>
          <w:szCs w:val="24"/>
          <w14:ligatures w14:val="standardContextual"/>
        </w:rPr>
        <w:t>(</w:t>
      </w:r>
      <w:bookmarkStart w:id="4" w:name="_Hlk166747062"/>
      <w:r w:rsidRPr="007B5BC4">
        <w:rPr>
          <w:rFonts w:ascii="Times New Roman" w:eastAsia="Calibri" w:hAnsi="Times New Roman" w:cs="Times New Roman"/>
          <w:b/>
          <w:bCs/>
          <w:i/>
          <w:iCs/>
          <w:kern w:val="0"/>
          <w:sz w:val="24"/>
          <w:szCs w:val="24"/>
          <w14:ligatures w14:val="standardContextual"/>
        </w:rPr>
        <w:t>Disposizioni urgenti per il completamento di interventi infrastrutturali</w:t>
      </w:r>
      <w:bookmarkEnd w:id="4"/>
      <w:r w:rsidRPr="007B5BC4">
        <w:rPr>
          <w:rFonts w:ascii="Times New Roman" w:eastAsia="Calibri" w:hAnsi="Times New Roman" w:cs="Times New Roman"/>
          <w:b/>
          <w:bCs/>
          <w:i/>
          <w:iCs/>
          <w:kern w:val="0"/>
          <w:sz w:val="24"/>
          <w:szCs w:val="24"/>
          <w14:ligatures w14:val="standardContextual"/>
        </w:rPr>
        <w:t>)</w:t>
      </w:r>
    </w:p>
    <w:p w14:paraId="617F1649"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1. Al fine di consentire il celere avvio dei lavori di realizzazione del collegamento autostradale Cisterna-Valmontone, è autorizzata la spesa di 155 milioni di euro per l’anno 2024, di 20 milioni di euro ciascuno degli anni dal 2025 al 2031, di 22 milioni di euro per l’anno 2032 e di 38 milioni di euro per ciascuno degli anni 2033 e 2034. Gli importi di cui al primo periodo sono riversati sulla contabilità speciale di cui all’articolo 1, comma 475, della legge 29 dicembre 2022, n. 197. Agli oneri derivanti dal primo periodo si provvede, quanto a 153 milioni di euro per l’anno 2024, a valere sui residui del Fondo di cui all'articolo 1-septies, comma 8, del decreto-legge 25 maggio 2021, n. 73, convertito, con modificazioni, dalla legge 23 luglio 2021, n. 106, e quanto a 2 milioni di euro per l’anno 2024, 20 milioni di euro per ciascuno degli anni dal 2025 al 2031, 22 milioni di euro per l’anno 2032 e 38 milioni di euro per ciascuno degli anni 2033 e 2034 a valere sulle risorse, disponibili a legislazione vigente, destinate al completamento del tratto autostradale Roma-Latina.</w:t>
      </w:r>
    </w:p>
    <w:p w14:paraId="6386C702"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2. Per le finalità di cui all’articolo 1, comma 519, della legge 29 dicembre 2022, n. 197, è autorizzata l’ulteriore spesa di 150 milioni di euro per l’anno 2024, a valere sui residui del Fondo di cui all'articolo 1-septies, comma 8, del decreto-legge 25 maggio 2021, n. 73, convertito, con modificazioni, dalla legge 23 luglio 2021, n. 106. Tale importo è riversato sulla contabilità speciale di cui all’articolo 3, comma 7-bis, del decreto-legge 14 aprile 2023, n. 39, convertito, con modificazioni, dalla legge 3 giugno 2023, n. 68.</w:t>
      </w:r>
    </w:p>
    <w:p w14:paraId="448D856C"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3. </w:t>
      </w:r>
      <w:r w:rsidRPr="007B5BC4">
        <w:rPr>
          <w:rFonts w:ascii="Times New Roman" w:eastAsia="Calibri" w:hAnsi="Times New Roman" w:cs="Times New Roman"/>
          <w:kern w:val="0"/>
          <w:sz w:val="24"/>
          <w:szCs w:val="24"/>
          <w:shd w:val="clear" w:color="auto" w:fill="FFFFFF"/>
        </w:rPr>
        <w:t xml:space="preserve">Il Commissario straordinario, </w:t>
      </w:r>
      <w:bookmarkStart w:id="5" w:name="_Hlk165392135"/>
      <w:r w:rsidRPr="007B5BC4">
        <w:rPr>
          <w:rFonts w:ascii="Times New Roman" w:eastAsia="Calibri" w:hAnsi="Times New Roman" w:cs="Times New Roman"/>
          <w:kern w:val="0"/>
          <w:sz w:val="24"/>
          <w:szCs w:val="24"/>
          <w:shd w:val="clear" w:color="auto" w:fill="FFFFFF"/>
        </w:rPr>
        <w:t>nominato con decreto del Presidente del Consiglio dei ministri del 9 maggio 2022 per l’intervento relativo alla “</w:t>
      </w:r>
      <w:bookmarkStart w:id="6" w:name="_Hlk164755371"/>
      <w:r w:rsidRPr="007B5BC4">
        <w:rPr>
          <w:rFonts w:ascii="Times New Roman" w:eastAsia="Calibri" w:hAnsi="Times New Roman" w:cs="Times New Roman"/>
          <w:kern w:val="0"/>
          <w:sz w:val="24"/>
          <w:szCs w:val="24"/>
          <w:shd w:val="clear" w:color="auto" w:fill="FFFFFF"/>
        </w:rPr>
        <w:t>R</w:t>
      </w:r>
      <w:r w:rsidRPr="007B5BC4">
        <w:rPr>
          <w:rFonts w:ascii="Times New Roman" w:eastAsia="Calibri" w:hAnsi="Times New Roman" w:cs="Times New Roman"/>
          <w:bCs/>
          <w:kern w:val="0"/>
          <w:sz w:val="24"/>
          <w:szCs w:val="24"/>
          <w:shd w:val="clear" w:color="auto" w:fill="FFFFFF"/>
        </w:rPr>
        <w:t xml:space="preserve">ealizzazione del I lotto funzionale della nuova sede dei reparti di eccellenza dell’Arma dei Carabinieri - I lotto - (PI) - D51B21004330001, di cui al </w:t>
      </w:r>
      <w:r w:rsidRPr="007B5BC4">
        <w:rPr>
          <w:rFonts w:ascii="Times New Roman" w:eastAsia="Calibri" w:hAnsi="Times New Roman" w:cs="Times New Roman"/>
          <w:kern w:val="0"/>
          <w:sz w:val="24"/>
          <w:szCs w:val="24"/>
          <w:shd w:val="clear" w:color="auto" w:fill="FFFFFF"/>
        </w:rPr>
        <w:t>decreto del Presidente del Consiglio dei ministri</w:t>
      </w:r>
      <w:r w:rsidRPr="007B5BC4">
        <w:rPr>
          <w:rFonts w:ascii="Times New Roman" w:eastAsia="Calibri" w:hAnsi="Times New Roman" w:cs="Times New Roman"/>
          <w:bCs/>
          <w:kern w:val="0"/>
          <w:sz w:val="24"/>
          <w:szCs w:val="24"/>
          <w:shd w:val="clear" w:color="auto" w:fill="FFFFFF"/>
        </w:rPr>
        <w:t xml:space="preserve"> n. 1831 del 09 maggio 2022”</w:t>
      </w:r>
      <w:bookmarkEnd w:id="5"/>
      <w:r w:rsidRPr="007B5BC4">
        <w:rPr>
          <w:rFonts w:ascii="Times New Roman" w:eastAsia="Calibri" w:hAnsi="Times New Roman" w:cs="Times New Roman"/>
          <w:kern w:val="0"/>
          <w:sz w:val="24"/>
          <w:szCs w:val="24"/>
          <w:shd w:val="clear" w:color="auto" w:fill="FFFFFF"/>
        </w:rPr>
        <w:t>, è autorizzato all’apertura di una contabilità speciale per le spese di funzionamen</w:t>
      </w:r>
      <w:bookmarkEnd w:id="6"/>
      <w:r w:rsidRPr="007B5BC4">
        <w:rPr>
          <w:rFonts w:ascii="Times New Roman" w:eastAsia="Calibri" w:hAnsi="Times New Roman" w:cs="Times New Roman"/>
          <w:kern w:val="0"/>
          <w:sz w:val="24"/>
          <w:szCs w:val="24"/>
          <w:shd w:val="clear" w:color="auto" w:fill="FFFFFF"/>
        </w:rPr>
        <w:t xml:space="preserve">to e di realizzazione, in conformità con le procedure di cui all'articolo 4, comma 3-bis, del decreto-legge 18 aprile 2019, n. 32, convertito, con modificazioni, dalla legge 14 giugno 2019, n. 55. </w:t>
      </w:r>
      <w:r w:rsidRPr="007B5BC4">
        <w:rPr>
          <w:rFonts w:ascii="Times New Roman" w:eastAsia="Calibri" w:hAnsi="Times New Roman" w:cs="Times New Roman"/>
          <w:kern w:val="0"/>
          <w:sz w:val="24"/>
          <w:szCs w:val="24"/>
          <w14:ligatures w14:val="standardContextual"/>
        </w:rPr>
        <w:t xml:space="preserve">Per le finalità di cui all’articolo 1, comma 1, del </w:t>
      </w:r>
      <w:r w:rsidRPr="007B5BC4">
        <w:rPr>
          <w:rFonts w:ascii="Times New Roman" w:eastAsia="Calibri" w:hAnsi="Times New Roman" w:cs="Times New Roman"/>
          <w:kern w:val="0"/>
          <w:sz w:val="24"/>
          <w:szCs w:val="24"/>
          <w14:ligatures w14:val="standardContextual"/>
        </w:rPr>
        <w:lastRenderedPageBreak/>
        <w:t>decreto del Presidente del Consiglio dei ministri 14 gennaio 2022 è autorizzata una spesa di 20 milioni di euro per l’anno 2024. Agli oneri di cui al primo periodo, pari a 20 milioni di euro per l'anno 2024, si provvede a valere sui residui del Fondo di cui all'articolo 1-septies, comma 8, del decreto-legge 25 maggio 2021, n. 73, convertito, con modificazioni, dalla legge 23 luglio 2021, n. 106. Tale importo è riversato sulla contabilità speciale di cui al primo periodo.</w:t>
      </w:r>
    </w:p>
    <w:p w14:paraId="04445715"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4. I termini per l'aggiudicazione degli interventi finanziati a valere sulle risorse di cui all'</w:t>
      </w:r>
      <w:hyperlink r:id="rId7" w:history="1">
        <w:r w:rsidRPr="007B5BC4">
          <w:rPr>
            <w:rFonts w:ascii="Times New Roman" w:eastAsia="Calibri" w:hAnsi="Times New Roman" w:cs="Times New Roman"/>
            <w:kern w:val="0"/>
            <w:sz w:val="24"/>
            <w:szCs w:val="24"/>
            <w14:ligatures w14:val="standardContextual"/>
          </w:rPr>
          <w:t>articolo 1, comma 891, della legge 30 dicembre 2018, n. 145</w:t>
        </w:r>
      </w:hyperlink>
      <w:r w:rsidRPr="007B5BC4">
        <w:rPr>
          <w:rFonts w:ascii="Times New Roman" w:eastAsia="Calibri" w:hAnsi="Times New Roman" w:cs="Times New Roman"/>
          <w:kern w:val="0"/>
          <w:sz w:val="24"/>
          <w:szCs w:val="24"/>
          <w14:ligatures w14:val="standardContextual"/>
        </w:rPr>
        <w:t>, sono fissati al 31 dicembre 2024. All'attuazione della presente disposizione si provvede con decreto del Ministro delle infrastrutture e dei trasporti, di concerto con il Ministro dell'economia e delle finanze, da adottare entro tre mesi dalla data di entrata in vigore del presente decreto. Il medesimo decreto disciplina le modalità di monitoraggio degli interventi e dei relativi cronoprogrammi, attraverso i sistemi informativi del Dipartimento della Ragioneria generale dello Stato, nonché le modalità di revoca delle risorse anche in caso di mancato aggiornamento dei dati contenuti nei predetti sistemi informativi.</w:t>
      </w:r>
    </w:p>
    <w:p w14:paraId="77B94804" w14:textId="77777777" w:rsidR="00792485" w:rsidRPr="007B5BC4" w:rsidRDefault="00792485"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779ECE11" w14:textId="77777777" w:rsidR="00792485" w:rsidRPr="007B5BC4" w:rsidRDefault="00792485"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7E2BC129" w14:textId="60378D58" w:rsidR="004B3BCD" w:rsidRPr="007B5BC4" w:rsidRDefault="004B3BCD" w:rsidP="00F3606C">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 xml:space="preserve">ART. </w:t>
      </w:r>
      <w:r w:rsidR="00035CFF" w:rsidRPr="007B5BC4">
        <w:rPr>
          <w:rFonts w:ascii="Times New Roman" w:eastAsia="Calibri" w:hAnsi="Times New Roman" w:cs="Times New Roman"/>
          <w:b/>
          <w:bCs/>
          <w:kern w:val="0"/>
          <w:sz w:val="24"/>
          <w:szCs w:val="24"/>
          <w14:ligatures w14:val="standardContextual"/>
        </w:rPr>
        <w:t>6</w:t>
      </w:r>
    </w:p>
    <w:p w14:paraId="6F9E4DDC" w14:textId="77777777" w:rsidR="004B3BCD" w:rsidRPr="007B5BC4" w:rsidRDefault="004B3BCD" w:rsidP="00F3606C">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B5BC4">
        <w:rPr>
          <w:rFonts w:ascii="Times New Roman" w:eastAsia="Calibri" w:hAnsi="Times New Roman" w:cs="Times New Roman"/>
          <w:b/>
          <w:bCs/>
          <w:i/>
          <w:iCs/>
          <w:kern w:val="0"/>
          <w:sz w:val="24"/>
          <w:szCs w:val="24"/>
          <w14:ligatures w14:val="standardContextual"/>
        </w:rPr>
        <w:t>(Disposizioni urgenti in materia di trasporto pubblico locale)</w:t>
      </w:r>
    </w:p>
    <w:p w14:paraId="271DD674" w14:textId="77777777" w:rsidR="004B3BCD" w:rsidRPr="007B5BC4" w:rsidRDefault="004B3BCD" w:rsidP="00B716CC">
      <w:pPr>
        <w:spacing w:line="276" w:lineRule="auto"/>
        <w:jc w:val="both"/>
        <w:rPr>
          <w:rFonts w:ascii="Times New Roman" w:eastAsia="Calibri" w:hAnsi="Times New Roman" w:cs="Times New Roman"/>
          <w:kern w:val="0"/>
          <w:sz w:val="24"/>
          <w:szCs w:val="24"/>
          <w:u w:val="single"/>
          <w14:ligatures w14:val="standardContextual"/>
        </w:rPr>
      </w:pPr>
      <w:r w:rsidRPr="007B5BC4">
        <w:rPr>
          <w:rFonts w:ascii="Times New Roman" w:eastAsia="Calibri" w:hAnsi="Times New Roman" w:cs="Times New Roman"/>
          <w:kern w:val="0"/>
          <w:sz w:val="24"/>
          <w:szCs w:val="24"/>
          <w14:ligatures w14:val="standardContextual"/>
        </w:rPr>
        <w:t xml:space="preserve">1. Le somme residue relative ai mutui trasferiti al Ministero dell’economia e delle finanze in attuazione dell’articolo 5, comma 3, lettera a), del decreto-legge 30 settembre 2003, n. 269, convertito, con modificazioni, dalla legge 24 novembre 2003, n. 326, concessi dalla Cassa depositi e prestiti per interventi di potenziamento delle ferrovie regionali di cui </w:t>
      </w:r>
      <w:r w:rsidRPr="007B5BC4">
        <w:rPr>
          <w:rFonts w:ascii="Times New Roman" w:eastAsia="Times New Roman" w:hAnsi="Times New Roman" w:cs="Times New Roman"/>
          <w:kern w:val="0"/>
          <w:sz w:val="24"/>
          <w:szCs w:val="24"/>
          <w14:ligatures w14:val="standardContextual"/>
        </w:rPr>
        <w:t xml:space="preserve">all’articolo 2, comma 3 della </w:t>
      </w:r>
      <w:r w:rsidRPr="007B5BC4">
        <w:rPr>
          <w:rFonts w:ascii="Times New Roman" w:eastAsia="Calibri" w:hAnsi="Times New Roman" w:cs="Times New Roman"/>
          <w:kern w:val="0"/>
          <w:sz w:val="24"/>
          <w:szCs w:val="24"/>
          <w14:ligatures w14:val="standardContextual"/>
        </w:rPr>
        <w:t>legge 22 dicembre 1986, n. 910,</w:t>
      </w:r>
      <w:hyperlink r:id="rId8" w:history="1"/>
      <w:r w:rsidRPr="007B5BC4">
        <w:rPr>
          <w:rFonts w:ascii="Times New Roman" w:eastAsia="Calibri" w:hAnsi="Times New Roman" w:cs="Times New Roman"/>
          <w:kern w:val="0"/>
          <w:sz w:val="24"/>
          <w:szCs w:val="24"/>
          <w14:ligatures w14:val="standardContextual"/>
        </w:rPr>
        <w:t xml:space="preserve"> ovvero per interventi di sviluppo dei sistemi di trasporto rapido di massa</w:t>
      </w:r>
      <w:bookmarkStart w:id="7" w:name="_Hlk163723370"/>
      <w:r w:rsidRPr="007B5BC4">
        <w:rPr>
          <w:rFonts w:ascii="Times New Roman" w:eastAsia="Calibri" w:hAnsi="Times New Roman" w:cs="Times New Roman"/>
          <w:kern w:val="0"/>
          <w:sz w:val="24"/>
          <w:szCs w:val="24"/>
          <w14:ligatures w14:val="standardContextual"/>
        </w:rPr>
        <w:t xml:space="preserve"> </w:t>
      </w:r>
      <w:bookmarkStart w:id="8" w:name="_Hlk163724119"/>
      <w:r w:rsidRPr="007B5BC4">
        <w:rPr>
          <w:rFonts w:ascii="Times New Roman" w:eastAsia="Calibri" w:hAnsi="Times New Roman" w:cs="Times New Roman"/>
          <w:kern w:val="0"/>
          <w:sz w:val="24"/>
          <w:szCs w:val="24"/>
          <w14:ligatures w14:val="standardContextual"/>
        </w:rPr>
        <w:t xml:space="preserve">e di cui alla legge 26 febbraio 1992, n. 211, </w:t>
      </w:r>
      <w:bookmarkEnd w:id="7"/>
      <w:bookmarkEnd w:id="8"/>
      <w:r w:rsidRPr="007B5BC4">
        <w:rPr>
          <w:rFonts w:ascii="Times New Roman" w:eastAsia="Calibri" w:hAnsi="Times New Roman" w:cs="Times New Roman"/>
          <w:kern w:val="0"/>
          <w:sz w:val="24"/>
          <w:szCs w:val="24"/>
          <w14:ligatures w14:val="standardContextual"/>
        </w:rPr>
        <w:t xml:space="preserve">il cui piano di </w:t>
      </w:r>
      <w:r w:rsidRPr="007B5BC4">
        <w:rPr>
          <w:rFonts w:ascii="Times New Roman" w:eastAsia="Calibri" w:hAnsi="Times New Roman" w:cs="Times New Roman"/>
          <w:color w:val="000000"/>
          <w:kern w:val="0"/>
          <w:sz w:val="24"/>
          <w:szCs w:val="24"/>
          <w14:ligatures w14:val="standardContextual"/>
        </w:rPr>
        <w:t xml:space="preserve">rimborso è scaduto entro il 31 dicembre 2023 e che risultano </w:t>
      </w:r>
      <w:r w:rsidRPr="007B5BC4">
        <w:rPr>
          <w:rFonts w:ascii="Times New Roman" w:eastAsia="Calibri" w:hAnsi="Times New Roman" w:cs="Times New Roman"/>
          <w:kern w:val="0"/>
          <w:sz w:val="24"/>
          <w:szCs w:val="24"/>
          <w14:ligatures w14:val="standardContextual"/>
        </w:rPr>
        <w:t xml:space="preserve">a tale data non utilizzate dai soggetti mutuatari, possono essere erogate anche successivamente alla scadenza dell’ammortamento dei mutui ai fini del completamento delle opere ammesse a contributo o destinatarie dei mutui in virtù </w:t>
      </w:r>
      <w:r w:rsidRPr="007B5BC4">
        <w:rPr>
          <w:rFonts w:ascii="Times New Roman" w:eastAsia="Times New Roman" w:hAnsi="Times New Roman" w:cs="Times New Roman"/>
          <w:kern w:val="0"/>
          <w:sz w:val="24"/>
          <w:szCs w:val="24"/>
          <w14:ligatures w14:val="standardContextual"/>
        </w:rPr>
        <w:t>dell’articolo 1, comma 289, della legge 24 dicembre 2012, n. 228</w:t>
      </w:r>
      <w:r w:rsidRPr="007B5BC4">
        <w:rPr>
          <w:rFonts w:ascii="Times New Roman" w:eastAsia="Calibri" w:hAnsi="Times New Roman" w:cs="Times New Roman"/>
          <w:kern w:val="0"/>
          <w:sz w:val="24"/>
          <w:szCs w:val="24"/>
          <w14:ligatures w14:val="standardContextual"/>
        </w:rPr>
        <w:t xml:space="preserve">. I soggetti mutuatari possono trasmettere al Ministero delle infrastrutture e dei trasporti, per la relativa autorizzazione, eventuali richieste di variazione degli interventi ammessi a contributo durante il periodo di ammortamento se coerenti con le finalità dei relativi programmi. </w:t>
      </w:r>
    </w:p>
    <w:p w14:paraId="3EB8D86A" w14:textId="77777777" w:rsidR="004B3BCD" w:rsidRPr="007B5BC4" w:rsidRDefault="004B3BCD" w:rsidP="00B716CC">
      <w:pPr>
        <w:spacing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2. Cassa depositi e prestiti S.p.a. è autorizzata ad erogare le somme residue di cui al comma 1 entro il 31 dicembre 2028, su richiesta dei soggetti mutuatari e previa autorizzazione del Ministero delle infrastrutture e dei trasporti, rilasciata all’esito della verifica della rendicontazione delle spese funzionali alla realizzazione degli interventi ammessi a contributo ai sensi del comma 1.</w:t>
      </w:r>
    </w:p>
    <w:p w14:paraId="4C7F6E5A" w14:textId="77777777" w:rsidR="00E2269E" w:rsidRPr="007B5BC4" w:rsidRDefault="00E2269E" w:rsidP="00B716CC">
      <w:pPr>
        <w:snapToGrid w:val="0"/>
        <w:spacing w:before="120" w:after="120" w:line="276" w:lineRule="auto"/>
        <w:jc w:val="both"/>
        <w:outlineLvl w:val="1"/>
        <w:rPr>
          <w:rFonts w:ascii="Times New Roman" w:eastAsia="Calibri" w:hAnsi="Times New Roman" w:cs="Times New Roman"/>
          <w:b/>
          <w:bCs/>
          <w:kern w:val="0"/>
          <w:sz w:val="24"/>
          <w:szCs w:val="24"/>
          <w14:ligatures w14:val="standardContextual"/>
        </w:rPr>
      </w:pPr>
    </w:p>
    <w:p w14:paraId="190FE345" w14:textId="77777777" w:rsidR="00792485" w:rsidRPr="007B5BC4" w:rsidRDefault="00792485" w:rsidP="00B716CC">
      <w:pPr>
        <w:snapToGrid w:val="0"/>
        <w:spacing w:before="120" w:after="120" w:line="276" w:lineRule="auto"/>
        <w:jc w:val="both"/>
        <w:outlineLvl w:val="1"/>
        <w:rPr>
          <w:rFonts w:ascii="Times New Roman" w:eastAsia="Calibri" w:hAnsi="Times New Roman" w:cs="Times New Roman"/>
          <w:b/>
          <w:bCs/>
          <w:kern w:val="0"/>
          <w:sz w:val="24"/>
          <w:szCs w:val="24"/>
          <w14:ligatures w14:val="standardContextual"/>
        </w:rPr>
      </w:pPr>
    </w:p>
    <w:p w14:paraId="3CEB3D95" w14:textId="553BDA28" w:rsidR="00E2269E" w:rsidRPr="007B5BC4" w:rsidRDefault="00E2269E" w:rsidP="0063051E">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A</w:t>
      </w:r>
      <w:r w:rsidR="00035CFF" w:rsidRPr="007B5BC4">
        <w:rPr>
          <w:rFonts w:ascii="Times New Roman" w:eastAsia="Calibri" w:hAnsi="Times New Roman" w:cs="Times New Roman"/>
          <w:b/>
          <w:bCs/>
          <w:kern w:val="0"/>
          <w:sz w:val="24"/>
          <w:szCs w:val="24"/>
          <w14:ligatures w14:val="standardContextual"/>
        </w:rPr>
        <w:t>RT. 7</w:t>
      </w:r>
    </w:p>
    <w:p w14:paraId="27A64CA1" w14:textId="77777777" w:rsidR="00E2269E" w:rsidRPr="007B5BC4" w:rsidRDefault="00E2269E" w:rsidP="0063051E">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B5BC4">
        <w:rPr>
          <w:rFonts w:ascii="Times New Roman" w:eastAsia="Calibri" w:hAnsi="Times New Roman" w:cs="Times New Roman"/>
          <w:b/>
          <w:bCs/>
          <w:i/>
          <w:iCs/>
          <w:kern w:val="0"/>
          <w:sz w:val="24"/>
          <w:szCs w:val="24"/>
          <w14:ligatures w14:val="standardContextual"/>
        </w:rPr>
        <w:t>(Misure urgenti per accelerare l'attuazione di interventi di bonifica nel sito di interesse nazionale Cogoleto Stoppani)</w:t>
      </w:r>
    </w:p>
    <w:p w14:paraId="0EB6D8AF" w14:textId="1E1E6046" w:rsidR="00E2269E" w:rsidRPr="007B5BC4" w:rsidRDefault="007F2DE5" w:rsidP="00B716CC">
      <w:pPr>
        <w:spacing w:line="276" w:lineRule="auto"/>
        <w:jc w:val="both"/>
        <w:rPr>
          <w:rFonts w:ascii="Times New Roman" w:hAnsi="Times New Roman" w:cs="Times New Roman"/>
          <w:sz w:val="24"/>
          <w:szCs w:val="24"/>
        </w:rPr>
      </w:pPr>
      <w:bookmarkStart w:id="9" w:name="_Hlk166080777"/>
      <w:r w:rsidRPr="007B5BC4">
        <w:rPr>
          <w:rFonts w:ascii="Times New Roman" w:hAnsi="Times New Roman" w:cs="Times New Roman"/>
          <w:sz w:val="24"/>
          <w:szCs w:val="24"/>
        </w:rPr>
        <w:t xml:space="preserve">1. </w:t>
      </w:r>
      <w:r w:rsidR="00E2269E" w:rsidRPr="007B5BC4">
        <w:rPr>
          <w:rFonts w:ascii="Times New Roman" w:hAnsi="Times New Roman" w:cs="Times New Roman"/>
          <w:sz w:val="24"/>
          <w:szCs w:val="24"/>
        </w:rPr>
        <w:t xml:space="preserve">Entro sessanta giorni dalla data di entrata in vigore della presente disposizione, con decreto del Presidente del Consiglio dei ministri, su proposta del Ministro dell’ambiente e della sicurezza </w:t>
      </w:r>
      <w:r w:rsidR="00E2269E" w:rsidRPr="007B5BC4">
        <w:rPr>
          <w:rFonts w:ascii="Times New Roman" w:hAnsi="Times New Roman" w:cs="Times New Roman"/>
          <w:sz w:val="24"/>
          <w:szCs w:val="24"/>
        </w:rPr>
        <w:lastRenderedPageBreak/>
        <w:t>energetica, di concerto con il Ministro dell’economia e delle finanze, è nominato un commissario straordinario al fine di completare le attività di progettazione e realizzazione degli interventi di caratterizzazione, messa in sicurezza e bonifica nel sito di interesse nazionale Cogoleto-Stoppani. Il decreto di cui al primo periodo individua altresì i compiti e le attività del commissario straordinario, compresa l’attività di gestione e smaltimento del percolato della discarica di Molinetto, nonché il compenso del commissario medesimo, determinato ai sensi dell’articolo 15, comma 3, del decreto-legge 6 luglio 2011, n. 98, convertito, con modificazioni, dalla legge 15 luglio 2011, n. 111. Il commissario straordinario resta in carica per la durata di tre anni, prorogabili per ulteriori tre.</w:t>
      </w:r>
    </w:p>
    <w:p w14:paraId="17A37277" w14:textId="72F4C27B"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2. </w:t>
      </w:r>
      <w:r w:rsidR="00E2269E" w:rsidRPr="007B5BC4">
        <w:rPr>
          <w:rFonts w:ascii="Times New Roman" w:hAnsi="Times New Roman" w:cs="Times New Roman"/>
          <w:sz w:val="24"/>
          <w:szCs w:val="24"/>
        </w:rPr>
        <w:t>Il commissario straordinario subentra nei rapporti attivi e passivi, nei procedimenti giurisdizionali pendenti, negli atti amministrativi e negoziali già nella titolarità del prefetto di Genova ai sensi dell’articolo 12 del decreto-legge 29 marzo 2019, n. 27, convertito, con modificazioni, dalla legge 21 maggio 2019, n. 44, nonché nella titolarità della contabilità speciale già intestata al prefetto di Genova ai sensi del comma 5 del medesimo articolo 12. Salvo diverse determinazioni del commissario straordinario, per le finalità di cui al comma 1 continuano ad avere efficacia gli atti adottati ai sensi dell’ordinanza del Presidente del Consiglio dei ministri 5 dicembre 2006, n. 3554.</w:t>
      </w:r>
    </w:p>
    <w:p w14:paraId="746AFE3E" w14:textId="2FC2063F"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3. </w:t>
      </w:r>
      <w:r w:rsidR="00E2269E" w:rsidRPr="007B5BC4">
        <w:rPr>
          <w:rFonts w:ascii="Times New Roman" w:hAnsi="Times New Roman" w:cs="Times New Roman"/>
          <w:sz w:val="24"/>
          <w:szCs w:val="24"/>
        </w:rPr>
        <w:t xml:space="preserve">Il commissario straordinario opera in deroga a ogni disposizione di legge diversa da quella penale, fatto salvo il rispetto delle disposizioni del codice delle leggi antimafia e delle misure di prevenzione di cui al decreto legislativo 6 settembre 2011, n. 159, e del decreto-legge 15 marzo 2012, n. 21, convertito, con modificazioni, dalla legge 11 maggio 2012, n. 56, nonché dei vincoli inderogabili derivanti dall’appartenenza all’Unione europea. Restano ferme in ogni caso le deroghe previste all’articolo 12, comma 6, del decreto-legge 29 marzo 2019, n. 27, convertito con modificazioni dalla legge 21 maggio 2019, n. 44. </w:t>
      </w:r>
      <w:bookmarkStart w:id="10" w:name="_Hlk166057517"/>
      <w:r w:rsidR="00E2269E" w:rsidRPr="007B5BC4">
        <w:rPr>
          <w:rFonts w:ascii="Times New Roman" w:hAnsi="Times New Roman" w:cs="Times New Roman"/>
          <w:sz w:val="24"/>
          <w:szCs w:val="24"/>
        </w:rPr>
        <w:t>Al commissario sono altresì attribuiti i poteri di cui all’articolo 13 del decreto-legge 25 marzo 1997, n. 67, convertito, con modificazioni, dalla legge 23 maggio 1997, n. 135, nonché le facoltà di cui all’articolo 12, comma 1, del decreto-legge 29 marzo 2019, n. 27, convertito con modificazioni dalla legge 21 maggio 2019, n. 44.</w:t>
      </w:r>
      <w:bookmarkEnd w:id="10"/>
    </w:p>
    <w:p w14:paraId="47A88782" w14:textId="407FB491"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4. </w:t>
      </w:r>
      <w:r w:rsidR="00E2269E" w:rsidRPr="007B5BC4">
        <w:rPr>
          <w:rFonts w:ascii="Times New Roman" w:hAnsi="Times New Roman" w:cs="Times New Roman"/>
          <w:sz w:val="24"/>
          <w:szCs w:val="24"/>
        </w:rPr>
        <w:t>Per l’espletamento dei propri compiti e attività, il commissario straordinario ha la facoltà di nominare, d’intesa con il Ministro dell’ambiente e della sicurezza energetica e il Presidente della regione Liguria, un sub-commissario, cui sono affidati specifici settori di intervento. Al sub-commissario è corrisposto un compenso pari al cinquanta per cento del compenso del commissario straordinario.</w:t>
      </w:r>
    </w:p>
    <w:p w14:paraId="27637127" w14:textId="2A00E62C"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5. </w:t>
      </w:r>
      <w:r w:rsidR="00E2269E" w:rsidRPr="007B5BC4">
        <w:rPr>
          <w:rFonts w:ascii="Times New Roman" w:hAnsi="Times New Roman" w:cs="Times New Roman"/>
          <w:sz w:val="24"/>
          <w:szCs w:val="24"/>
        </w:rPr>
        <w:t xml:space="preserve">Per le finalità di cui al presente articolo, il commissario straordinario è autorizzato ad avvalersi, mediante apposita convenzione, di </w:t>
      </w:r>
      <w:proofErr w:type="spellStart"/>
      <w:r w:rsidR="00E2269E" w:rsidRPr="007B5BC4">
        <w:rPr>
          <w:rFonts w:ascii="Times New Roman" w:hAnsi="Times New Roman" w:cs="Times New Roman"/>
          <w:sz w:val="24"/>
          <w:szCs w:val="24"/>
        </w:rPr>
        <w:t>Sogesid</w:t>
      </w:r>
      <w:proofErr w:type="spellEnd"/>
      <w:r w:rsidR="00E2269E" w:rsidRPr="007B5BC4">
        <w:rPr>
          <w:rFonts w:ascii="Times New Roman" w:hAnsi="Times New Roman" w:cs="Times New Roman"/>
          <w:sz w:val="24"/>
          <w:szCs w:val="24"/>
        </w:rPr>
        <w:t xml:space="preserve"> S.p.A., nonché di altre società in house delle amministrazioni centrali dello Stato e della regione Liguria ovvero di enti pubblici dotati di specifica competenza tecnica nelle materie oggetto dell’avvalimento, degli enti del sistema nazionale a rete per la protezione dell'ambiente di cui alla legge n. 132 del 2016, delle amministrazioni centrali e periferiche dello Stato, utilizzando le risorse umane e strumentali disponibili a legislazione vigente, nei limiti delle risorse effettivamente disponibili per le attività di cui al comma 1 e senza nuovi o maggiori oneri a carico della finanza pubblica. Il commissario straordinario è altresì autorizzato ad avvalersi fino a un massimo di cinque unità, di personale appartenente alle amministrazioni </w:t>
      </w:r>
      <w:r w:rsidR="00E2269E" w:rsidRPr="00604716">
        <w:rPr>
          <w:rFonts w:ascii="Times New Roman" w:hAnsi="Times New Roman" w:cs="Times New Roman"/>
          <w:sz w:val="24"/>
          <w:szCs w:val="24"/>
        </w:rPr>
        <w:t>pubbliche</w:t>
      </w:r>
      <w:r w:rsidR="00891D1F" w:rsidRPr="00604716">
        <w:rPr>
          <w:rFonts w:ascii="Times New Roman" w:hAnsi="Times New Roman" w:cs="Times New Roman"/>
          <w:sz w:val="24"/>
          <w:szCs w:val="24"/>
        </w:rPr>
        <w:t xml:space="preserve">, con esclusione del personale appartenente ai ruoli del Corpo nazionale dei vigili del fuoco e della Polizia di Stato, </w:t>
      </w:r>
      <w:r w:rsidR="00E2269E" w:rsidRPr="00604716">
        <w:rPr>
          <w:rFonts w:ascii="Times New Roman" w:hAnsi="Times New Roman" w:cs="Times New Roman"/>
          <w:sz w:val="24"/>
          <w:szCs w:val="24"/>
        </w:rPr>
        <w:t>in</w:t>
      </w:r>
      <w:r w:rsidR="00E2269E" w:rsidRPr="007B5BC4">
        <w:rPr>
          <w:rFonts w:ascii="Times New Roman" w:hAnsi="Times New Roman" w:cs="Times New Roman"/>
          <w:sz w:val="24"/>
          <w:szCs w:val="24"/>
        </w:rPr>
        <w:t xml:space="preserve"> posizione di comando o di distacco secondo i rispettivi ordinamenti, conservando lo stato giuridico e il trattamento economico dell'amministrazione di appartenenza. Tale </w:t>
      </w:r>
      <w:r w:rsidR="00E2269E" w:rsidRPr="007B5BC4">
        <w:rPr>
          <w:rFonts w:ascii="Times New Roman" w:hAnsi="Times New Roman" w:cs="Times New Roman"/>
          <w:sz w:val="24"/>
          <w:szCs w:val="24"/>
        </w:rPr>
        <w:lastRenderedPageBreak/>
        <w:t>personale è autorizzato a effettuare lavoro straordinario nel limite di 50 ore mensili pro-capite effettivamente reso.</w:t>
      </w:r>
    </w:p>
    <w:p w14:paraId="2CF8A05D" w14:textId="33ABAEDE"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6. </w:t>
      </w:r>
      <w:r w:rsidR="00E2269E" w:rsidRPr="007B5BC4">
        <w:rPr>
          <w:rFonts w:ascii="Times New Roman" w:hAnsi="Times New Roman" w:cs="Times New Roman"/>
          <w:sz w:val="24"/>
          <w:szCs w:val="24"/>
        </w:rPr>
        <w:t>L’approvazione dei progetti per le finalità di cui al presente articolo da parte del Commissario Straordinario costituisce, ove occorra, variante agli strumenti urbanistici del comune interessato alla realizzazione delle opere o all’imposizione dell'area di rispetto e comporta vincolo preordinato all'esproprio e dichiarazione di pubblica utilità delle opere e urgenza e indifferibilità dei relativi lavori.</w:t>
      </w:r>
    </w:p>
    <w:p w14:paraId="592CD64B" w14:textId="10491E22"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7. </w:t>
      </w:r>
      <w:r w:rsidR="00E2269E" w:rsidRPr="007B5BC4">
        <w:rPr>
          <w:rFonts w:ascii="Times New Roman" w:hAnsi="Times New Roman" w:cs="Times New Roman"/>
          <w:sz w:val="24"/>
          <w:szCs w:val="24"/>
        </w:rPr>
        <w:t>Al fine di completare gli interventi di cui al comma 1, il commissario straordinario ha la facoltà di promuovere e sottoscrivere un accordo di programma con la regione Liguria e gli enti locali interessati avente ad oggetto le aree dello stabilimento ex Stoppani sito nel comune di Cogoleto. Con l’accordo di programma di cui al primo periodo sono individuati la destinazione d’uso delle aree anche in variante allo strumento urbanistico comunale, il progetto di valorizzazione, gli interventi da effettuare, nonché gli interventi di bonifica funzionali al medesimo progetto, incluso il piano di sviluppo e di riconversione delle aree, il piano economico e finanziario degli interventi, nonché le risorse finanziarie necessarie, gli impegni di ciascun soggetto sottoscrittore e le modalità per individuare il soggetto incaricato di condurre l’iniziativa di sviluppo delle aree. L’accordo di programma di cui al primo periodo individua altresì il soggetto pubblico al quale è trasferita la proprietà delle aree. Il trasferimento della proprietà avviene trascorsi infruttuosamente centoventi giorni dalla richiesta di rimborso delle spese sostenute dall’amministrazione per le attività e gli interventi eseguiti alla data di adozione della richiesta medesima, adottata con atto del Commissario straordinario nei confronti del soggetto responsabile della contaminazione ovvero dei proprietari.</w:t>
      </w:r>
    </w:p>
    <w:p w14:paraId="2825D22A" w14:textId="7C30D7CE"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8. </w:t>
      </w:r>
      <w:r w:rsidR="00E2269E" w:rsidRPr="007B5BC4">
        <w:rPr>
          <w:rFonts w:ascii="Times New Roman" w:hAnsi="Times New Roman" w:cs="Times New Roman"/>
          <w:sz w:val="24"/>
          <w:szCs w:val="24"/>
        </w:rPr>
        <w:t>Nelle more della nomina del commissario straordinario ai sensi del comma 1, le relative attività continuano a essere svolte dal prefetto di Genova ai sensi dell’articolo 12 del decreto-legge n. 27 del 2019.</w:t>
      </w:r>
    </w:p>
    <w:p w14:paraId="4DFC63B5" w14:textId="679250D6"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9. </w:t>
      </w:r>
      <w:r w:rsidR="00E2269E" w:rsidRPr="007B5BC4">
        <w:rPr>
          <w:rFonts w:ascii="Times New Roman" w:hAnsi="Times New Roman" w:cs="Times New Roman"/>
          <w:sz w:val="24"/>
          <w:szCs w:val="24"/>
        </w:rPr>
        <w:t xml:space="preserve">Al fine di consentire le attività e i compiti di cui al presente articolo è autorizzata la spesa di euro 7.015.000 per ciascuna delle annualità 2024, 2025 e 2026. Agli oneri derivanti dal periodo precedente si provvede mediante corrispondente riduzione del Fondo speciale in conto capitale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dell'ambiente e della sicurezza energetica. </w:t>
      </w:r>
    </w:p>
    <w:p w14:paraId="6689F769" w14:textId="14EC3D1C" w:rsidR="00E2269E" w:rsidRPr="007B5BC4" w:rsidRDefault="007F2DE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10. </w:t>
      </w:r>
      <w:r w:rsidR="00E2269E" w:rsidRPr="007B5BC4">
        <w:rPr>
          <w:rFonts w:ascii="Times New Roman" w:hAnsi="Times New Roman" w:cs="Times New Roman"/>
          <w:sz w:val="24"/>
          <w:szCs w:val="24"/>
        </w:rPr>
        <w:t>Agli oneri di cui ai commi 1, 3, 4 e 5, pari a 346.635 euro annui a decorrere dal 2024, si provvede con le risorse disponibili sulla contabilità speciale di cui all’articolo 12, comma 5, del decreto-legge n. 27 del 2019.</w:t>
      </w:r>
    </w:p>
    <w:bookmarkEnd w:id="9"/>
    <w:p w14:paraId="54531DCB" w14:textId="77777777" w:rsidR="004B3BCD" w:rsidRPr="007B5BC4" w:rsidRDefault="004B3BCD" w:rsidP="0063051E">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p>
    <w:p w14:paraId="228B28FD" w14:textId="77777777" w:rsidR="00792485" w:rsidRPr="007B5BC4" w:rsidRDefault="00792485" w:rsidP="0063051E">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p>
    <w:p w14:paraId="16A945DC" w14:textId="465569BB" w:rsidR="007A74BA" w:rsidRPr="007B5BC4" w:rsidRDefault="007A74BA" w:rsidP="0063051E">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A</w:t>
      </w:r>
      <w:r w:rsidR="00A1587B" w:rsidRPr="007B5BC4">
        <w:rPr>
          <w:rFonts w:ascii="Times New Roman" w:eastAsia="Calibri" w:hAnsi="Times New Roman" w:cs="Times New Roman"/>
          <w:b/>
          <w:bCs/>
          <w:kern w:val="0"/>
          <w:sz w:val="24"/>
          <w:szCs w:val="24"/>
          <w14:ligatures w14:val="standardContextual"/>
        </w:rPr>
        <w:t xml:space="preserve">RT. </w:t>
      </w:r>
      <w:r w:rsidRPr="007B5BC4">
        <w:rPr>
          <w:rFonts w:ascii="Times New Roman" w:eastAsia="Calibri" w:hAnsi="Times New Roman" w:cs="Times New Roman"/>
          <w:b/>
          <w:bCs/>
          <w:kern w:val="0"/>
          <w:sz w:val="24"/>
          <w:szCs w:val="24"/>
          <w14:ligatures w14:val="standardContextual"/>
        </w:rPr>
        <w:t>8</w:t>
      </w:r>
    </w:p>
    <w:p w14:paraId="76E9B50D" w14:textId="77777777" w:rsidR="007A74BA" w:rsidRPr="007B5BC4" w:rsidRDefault="007A74BA" w:rsidP="0063051E">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B5BC4">
        <w:rPr>
          <w:rFonts w:ascii="Times New Roman" w:eastAsia="Calibri" w:hAnsi="Times New Roman" w:cs="Times New Roman"/>
          <w:b/>
          <w:bCs/>
          <w:i/>
          <w:iCs/>
          <w:kern w:val="0"/>
          <w:sz w:val="24"/>
          <w:szCs w:val="24"/>
          <w14:ligatures w14:val="standardContextual"/>
        </w:rPr>
        <w:t>(Comitato per lo sviluppo della cattura e lo stoccaggio geologico di CO2)</w:t>
      </w:r>
    </w:p>
    <w:p w14:paraId="7ED3B366"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1. Al decreto legislativo 14 settembre 2011, n. 162, sono apportate le seguenti modificazioni:</w:t>
      </w:r>
    </w:p>
    <w:p w14:paraId="1A963DAD"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a) l’articolo 4 è sostituito dal seguente:</w:t>
      </w:r>
    </w:p>
    <w:p w14:paraId="10C8E5CD"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lastRenderedPageBreak/>
        <w:t>«Art. 4</w:t>
      </w:r>
    </w:p>
    <w:p w14:paraId="062495AF"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(Comitato CCS)</w:t>
      </w:r>
    </w:p>
    <w:p w14:paraId="448F147E"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1. Per l’adempimento dei compiti previsti dal presente decreto, è istituito, presso il Ministero dell’ambiente e della sicurezza energetica in qualità di autorità competente ai sensi della direttiva 2009/31/CE, il Comitato CCS (di seguito “Comitato”), avente i compiti seguenti:</w:t>
      </w:r>
    </w:p>
    <w:p w14:paraId="40120F46"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a) gestione e aggiornamento del Registro di cui all’articolo 5, comma 1;</w:t>
      </w:r>
    </w:p>
    <w:p w14:paraId="0FE0C0AE"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b) individuazione dei formati da utilizzare per la comunicazione dei dati di cui all’articolo 6, comma 1;</w:t>
      </w:r>
    </w:p>
    <w:p w14:paraId="3C4C9B4B"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c) elaborazione dei dati ai fini dell’individuazione delle aree di cui all’articolo 7, comma 1;</w:t>
      </w:r>
    </w:p>
    <w:p w14:paraId="61EE5C0B"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d) valutazione della capacità di stoccaggio disponibile di cui all’articolo 7, comma 5;</w:t>
      </w:r>
    </w:p>
    <w:p w14:paraId="104DFCFF"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e) esame delle istanze ai fini dell’assegnazione delle licenze di esplorazione di cui all'articolo 8, comma 2, delle modifiche e integrazioni di cui al comma 9 dello stesso articolo;</w:t>
      </w:r>
    </w:p>
    <w:p w14:paraId="1AEF84CD"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f) esame delle istanze ai fini del rilascio delle autorizzazioni di cui agli articoli 11-bis e 12, nonché ogni attività utile ai fini dell’espressione dei pareri o dell’effettuazione delle segnalazioni per modifiche, riesami, aggiornamenti, revoche o decadenze delle autorizzazioni medesime, nonché ai fini delle relative verifiche di ottemperanza;</w:t>
      </w:r>
    </w:p>
    <w:p w14:paraId="71C66EDB"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g) approvazione del piano di monitoraggio di cui all’articolo 19, comma 2;</w:t>
      </w:r>
    </w:p>
    <w:p w14:paraId="6497C536"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h) prescrizioni relative alla tutela della salute pubblica di cui all’articolo 22, comma 2;</w:t>
      </w:r>
    </w:p>
    <w:p w14:paraId="2D7599FC"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i) esame del piano di post-chiusura del sito di stoccaggio di cui all’articolo 23, comma 4;</w:t>
      </w:r>
    </w:p>
    <w:p w14:paraId="13A12B92"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l) esame della relazione di cui all’articolo 24, comma 2;</w:t>
      </w:r>
    </w:p>
    <w:p w14:paraId="29113D68"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m) promozione del tentativo di conciliazione di cui all’articolo 29 per la risoluzione delle controversie relative all'accesso alla rete di trasporto ed ai siti di stoccaggio;</w:t>
      </w:r>
    </w:p>
    <w:p w14:paraId="156D8F8F"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n) emissione di ingiunzione di pagamento delle sanzioni di cui all’articolo 33;</w:t>
      </w:r>
    </w:p>
    <w:p w14:paraId="27290D15"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o) ogni altro compito previsto dalla normativa vigente.</w:t>
      </w:r>
    </w:p>
    <w:p w14:paraId="6CE7B7F1"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2. Il Comitato è un organo collegiale composto da cinque membri con diritto di voto, nominati con decreto del Ministro dell’ambiente e della sicurezza energetica, di cui tre, compreso il Presidente e il Vicepresidente, designati dal Ministro dell’ambiente e della sicurezza energetica, uno dall’Istituto superiore per la protezione e la ricerca ambientale (ISPRA) e uno dalla Conferenza unificata di cui all’articolo 8 del decreto legislativo 28 agosto 1997, n. 281.</w:t>
      </w:r>
    </w:p>
    <w:p w14:paraId="1088862D"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3. I membri del Comitato sono scelti tra persone di elevata qualifica professionale e comprovata esperienza nei settori interessati dal presente decreto e non devono trovarsi in situazione di conflitto di interessi rispetto alle funzioni loro attribuite. I membri dichiarano la insussistenza di tale conflitto all’atto dell’accettazione della nomina e sono tenuti a comunicare tempestivamente al Ministero dell’ambiente e della sicurezza energetica ogni sopravvenuta situazione di conflitto di interessi. La comunicazione di cui al secondo periodo comporta la decadenza automatica dalla carica di membro del Comitato e il soggetto che lo ha designato provvede alla individuazione del sostituto, che viene </w:t>
      </w:r>
      <w:r w:rsidRPr="007B5BC4">
        <w:rPr>
          <w:rFonts w:ascii="Times New Roman" w:hAnsi="Times New Roman" w:cs="Times New Roman"/>
          <w:sz w:val="24"/>
          <w:szCs w:val="24"/>
        </w:rPr>
        <w:lastRenderedPageBreak/>
        <w:t xml:space="preserve">nominato con decreto del Ministro dell’ambiente e della sicurezza energetica. Resta ferma la disciplina di </w:t>
      </w:r>
      <w:proofErr w:type="spellStart"/>
      <w:r w:rsidRPr="007B5BC4">
        <w:rPr>
          <w:rFonts w:ascii="Times New Roman" w:hAnsi="Times New Roman" w:cs="Times New Roman"/>
          <w:sz w:val="24"/>
          <w:szCs w:val="24"/>
        </w:rPr>
        <w:t>inconferibilità</w:t>
      </w:r>
      <w:proofErr w:type="spellEnd"/>
      <w:r w:rsidRPr="007B5BC4">
        <w:rPr>
          <w:rFonts w:ascii="Times New Roman" w:hAnsi="Times New Roman" w:cs="Times New Roman"/>
          <w:sz w:val="24"/>
          <w:szCs w:val="24"/>
        </w:rPr>
        <w:t xml:space="preserve"> e incompatibilità di cui al decreto legislativo 8 aprile 2013, n. 39.</w:t>
      </w:r>
    </w:p>
    <w:p w14:paraId="609015EE"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4. Il Comitato inizia a operare con la nomina di ciascuno dei propri membri, che durano in carica cinque anni e il cui mandato può essere rinnovato una sola volta.</w:t>
      </w:r>
    </w:p>
    <w:p w14:paraId="12A64466"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5. Ai fini del supporto istruttorio, tecnico e operativo al Comitato è istituita, nell’ambito del Comitato medesimo, una apposita Segreteria tecnica CCS (di seguito “Segreteria tecnica”). La Segreteria tecnica, che integra competenze tecniche e giuridiche, si compone di undici membri, compreso il coordinatore, nominati con decreto del Ministro dell’ambiente e della sicurezza energetica. Degli undici membri:</w:t>
      </w:r>
    </w:p>
    <w:p w14:paraId="0F9AB6FA"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a)  quattro, incluso il coordinatore, sono designati dal Ministero dell’ambiente e della sicurezza energetica, di cui due in servizio presso l’Ufficio nazionale minerario per gli idrocarburi e le </w:t>
      </w:r>
      <w:proofErr w:type="spellStart"/>
      <w:r w:rsidRPr="007B5BC4">
        <w:rPr>
          <w:rFonts w:ascii="Times New Roman" w:hAnsi="Times New Roman" w:cs="Times New Roman"/>
          <w:sz w:val="24"/>
          <w:szCs w:val="24"/>
        </w:rPr>
        <w:t>georisorse</w:t>
      </w:r>
      <w:proofErr w:type="spellEnd"/>
      <w:r w:rsidRPr="007B5BC4">
        <w:rPr>
          <w:rFonts w:ascii="Times New Roman" w:hAnsi="Times New Roman" w:cs="Times New Roman"/>
          <w:sz w:val="24"/>
          <w:szCs w:val="24"/>
        </w:rPr>
        <w:t xml:space="preserve"> (UNMIG); </w:t>
      </w:r>
    </w:p>
    <w:p w14:paraId="3D6A57F5"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b) due sono designati dall’ISPRA; </w:t>
      </w:r>
    </w:p>
    <w:p w14:paraId="33BD2241"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c) uno è designato dal Ministero dell’università e della ricerca tra professori universitari esperti in materia di sismica;</w:t>
      </w:r>
    </w:p>
    <w:p w14:paraId="79D7DFB1"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d) uno è designato dall’Istituto superiore di sanità (ISS);</w:t>
      </w:r>
    </w:p>
    <w:p w14:paraId="69AD7F76"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e) uno è designato dal Ministero dell’interno tra appartenenti al Corpo nazionale dei vigili del fuoco;   </w:t>
      </w:r>
    </w:p>
    <w:p w14:paraId="3FFFBCF1"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f) uno è designato dal Comitato centrale per la sicurezza tecnica della transizione energetica e per la gestione dei rischi connessi ai cambiamenti climatici di cui all’articolo 9 del decreto-legge 24 febbraio 2023, n. 13, convertito, con modificazioni, dalla legge 21 aprile 2023, n. 41;</w:t>
      </w:r>
    </w:p>
    <w:p w14:paraId="510032AE"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g) uno è designato dalla Conferenza unificata di cui all’articolo 8 del decreto legislativo 28 agosto 1997, n. 281.</w:t>
      </w:r>
    </w:p>
    <w:p w14:paraId="0FA521D8"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6. La Segreteria tecnica, in casi eccezionali, si avvale di enti, istituti ed organismi di ricerca per lo svolgimento delle sue attività.   </w:t>
      </w:r>
    </w:p>
    <w:p w14:paraId="4D100CC5"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7. Con decreto del Ministro dell’ambiente e della sicurezza energetica sono definite le modalità di funzionamento del Comitato e della Segreteria tecnica.</w:t>
      </w:r>
    </w:p>
    <w:p w14:paraId="7BC6CF55"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8. Con decreto del Ministro dell’ambiente e della sicurezza energetica, di concerto con il Ministro dell’economia e delle finanze, sono definiti i compensi dei componenti del Comitato e della Segreteria tecnica, a valere sulle risorse di cui all’articolo 23 del decreto legislativo 9 giugno 2020, n. 47 destinate a finalità coerenti con lo sviluppo dello stoccaggio geologico di CO2.»;</w:t>
      </w:r>
    </w:p>
    <w:p w14:paraId="150CF40E"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b) all’articolo 21, comma 2, lettere a) e b), le parole «di cui al comma 2 dell'articolo 4» sono sostituite dalle seguenti: «di cui al comma 5 dell’articolo 4»;</w:t>
      </w:r>
    </w:p>
    <w:p w14:paraId="2CFB8073"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c) all’articolo 27:</w:t>
      </w:r>
    </w:p>
    <w:p w14:paraId="477B7A91"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1) al comma 1, le parole «: 4;» sono soppresse;</w:t>
      </w:r>
    </w:p>
    <w:p w14:paraId="6719EEC1" w14:textId="77777777" w:rsidR="007A74BA"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2) al comma 2-bis, le parole «degli articoli 4 e» sono sostituite dalle seguenti: «dall’articolo».</w:t>
      </w:r>
    </w:p>
    <w:p w14:paraId="58350A1E" w14:textId="66AAF0D8" w:rsidR="0061776D" w:rsidRPr="007B5BC4" w:rsidRDefault="007A74BA"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lastRenderedPageBreak/>
        <w:t xml:space="preserve">2. Nelle more dell’attuazione del comma 1, lettera a), le funzioni di Comitato CCS sono svolte dal Comitato ETS di cui all’articolo 4 del decreto legislativo n. 47 del 2020 i cui membri sono stati nominati con decreto del Ministro dell’ambiente e della sicurezza energetica 16 aprile 2024 e il supporto istruttorio, tecnico e operativo alle relative attività è fornito dall’Ufficio nazionale minerario per gli idrocarburi e le </w:t>
      </w:r>
      <w:proofErr w:type="spellStart"/>
      <w:r w:rsidRPr="007B5BC4">
        <w:rPr>
          <w:rFonts w:ascii="Times New Roman" w:hAnsi="Times New Roman" w:cs="Times New Roman"/>
          <w:sz w:val="24"/>
          <w:szCs w:val="24"/>
        </w:rPr>
        <w:t>georisorse</w:t>
      </w:r>
      <w:proofErr w:type="spellEnd"/>
      <w:r w:rsidRPr="007B5BC4">
        <w:rPr>
          <w:rFonts w:ascii="Times New Roman" w:hAnsi="Times New Roman" w:cs="Times New Roman"/>
          <w:sz w:val="24"/>
          <w:szCs w:val="24"/>
        </w:rPr>
        <w:t xml:space="preserve"> (UNMIG), dall’Istituto superiore per la protezione e la ricerca ambientale (ISPRA) e dall’Istituto superiore di sanità (ISS), con le risorse umane e strumentali disponibili a legislazione vigente.</w:t>
      </w:r>
    </w:p>
    <w:p w14:paraId="38514231" w14:textId="77777777" w:rsidR="00792485" w:rsidRPr="007B5BC4" w:rsidRDefault="00792485" w:rsidP="00B716CC">
      <w:pPr>
        <w:spacing w:line="276" w:lineRule="auto"/>
        <w:jc w:val="both"/>
        <w:rPr>
          <w:rFonts w:ascii="Times New Roman" w:hAnsi="Times New Roman" w:cs="Times New Roman"/>
          <w:sz w:val="24"/>
          <w:szCs w:val="24"/>
        </w:rPr>
      </w:pPr>
    </w:p>
    <w:p w14:paraId="11C63EA8" w14:textId="77777777" w:rsidR="008D77CD" w:rsidRPr="007B5BC4" w:rsidRDefault="008D77CD" w:rsidP="00B716CC">
      <w:pPr>
        <w:snapToGrid w:val="0"/>
        <w:spacing w:before="120" w:after="120" w:line="276" w:lineRule="auto"/>
        <w:jc w:val="both"/>
        <w:outlineLvl w:val="1"/>
        <w:rPr>
          <w:rFonts w:ascii="Times New Roman" w:eastAsia="Calibri" w:hAnsi="Times New Roman" w:cs="Times New Roman"/>
          <w:b/>
          <w:bCs/>
          <w:i/>
          <w:iCs/>
          <w:kern w:val="0"/>
          <w:sz w:val="24"/>
          <w:szCs w:val="24"/>
          <w14:ligatures w14:val="standardContextual"/>
        </w:rPr>
      </w:pPr>
    </w:p>
    <w:p w14:paraId="127678DF" w14:textId="77777777" w:rsidR="008F761C" w:rsidRPr="00781B7A" w:rsidRDefault="008F761C" w:rsidP="001A0119">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81B7A">
        <w:rPr>
          <w:rFonts w:ascii="Times New Roman" w:eastAsia="Calibri" w:hAnsi="Times New Roman" w:cs="Times New Roman"/>
          <w:b/>
          <w:bCs/>
          <w:kern w:val="0"/>
          <w:sz w:val="24"/>
          <w:szCs w:val="24"/>
          <w14:ligatures w14:val="standardContextual"/>
        </w:rPr>
        <w:t>ART. 9</w:t>
      </w:r>
    </w:p>
    <w:p w14:paraId="51073EF7" w14:textId="2E7B0D8B" w:rsidR="008D77CD" w:rsidRPr="007B5BC4" w:rsidRDefault="008F761C" w:rsidP="001A0119">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81B7A">
        <w:rPr>
          <w:rFonts w:ascii="Times New Roman" w:eastAsia="Calibri" w:hAnsi="Times New Roman" w:cs="Times New Roman"/>
          <w:b/>
          <w:bCs/>
          <w:i/>
          <w:iCs/>
          <w:kern w:val="0"/>
          <w:sz w:val="24"/>
          <w:szCs w:val="24"/>
          <w14:ligatures w14:val="standardContextual"/>
        </w:rPr>
        <w:t>(</w:t>
      </w:r>
      <w:r w:rsidR="008D77CD" w:rsidRPr="00781B7A">
        <w:rPr>
          <w:rFonts w:ascii="Times New Roman" w:eastAsia="Calibri" w:hAnsi="Times New Roman" w:cs="Times New Roman"/>
          <w:b/>
          <w:bCs/>
          <w:i/>
          <w:iCs/>
          <w:kern w:val="0"/>
          <w:sz w:val="24"/>
          <w:szCs w:val="24"/>
          <w14:ligatures w14:val="standardContextual"/>
        </w:rPr>
        <w:t>Rifinanziamento per interventi infrastrutturali della Regione Liguria e per il completamento</w:t>
      </w:r>
      <w:r w:rsidR="00781B7A">
        <w:rPr>
          <w:rFonts w:ascii="Times New Roman" w:eastAsia="Calibri" w:hAnsi="Times New Roman" w:cs="Times New Roman"/>
          <w:b/>
          <w:bCs/>
          <w:i/>
          <w:iCs/>
          <w:kern w:val="0"/>
          <w:sz w:val="24"/>
          <w:szCs w:val="24"/>
          <w14:ligatures w14:val="standardContextual"/>
        </w:rPr>
        <w:t xml:space="preserve"> </w:t>
      </w:r>
      <w:r w:rsidR="00781B7A" w:rsidRPr="00781B7A">
        <w:rPr>
          <w:rFonts w:ascii="Times New Roman" w:eastAsia="Calibri" w:hAnsi="Times New Roman" w:cs="Times New Roman"/>
          <w:b/>
          <w:bCs/>
          <w:i/>
          <w:iCs/>
          <w:kern w:val="0"/>
          <w:sz w:val="24"/>
          <w:szCs w:val="24"/>
          <w14:ligatures w14:val="standardContextual"/>
        </w:rPr>
        <w:t>della Scuola Politecnica – Polo Universitario di Ingegneria presso il Parco scientifico tecnologico di Genova Erzelli</w:t>
      </w:r>
      <w:r w:rsidR="008D77CD" w:rsidRPr="00781B7A">
        <w:rPr>
          <w:rFonts w:ascii="Times New Roman" w:eastAsia="Calibri" w:hAnsi="Times New Roman" w:cs="Times New Roman"/>
          <w:b/>
          <w:bCs/>
          <w:i/>
          <w:iCs/>
          <w:kern w:val="0"/>
          <w:sz w:val="24"/>
          <w:szCs w:val="24"/>
          <w14:ligatures w14:val="standardContextual"/>
        </w:rPr>
        <w:t>)</w:t>
      </w:r>
    </w:p>
    <w:p w14:paraId="1B97F451" w14:textId="6407DA25" w:rsidR="008D77CD" w:rsidRPr="004B056A" w:rsidRDefault="008D77CD" w:rsidP="00B716CC">
      <w:pPr>
        <w:spacing w:line="276" w:lineRule="auto"/>
        <w:jc w:val="both"/>
        <w:rPr>
          <w:rFonts w:ascii="Times New Roman" w:hAnsi="Times New Roman" w:cs="Times New Roman"/>
          <w:sz w:val="24"/>
          <w:szCs w:val="24"/>
        </w:rPr>
      </w:pPr>
      <w:r w:rsidRPr="004B056A">
        <w:rPr>
          <w:rFonts w:ascii="Times New Roman" w:hAnsi="Times New Roman" w:cs="Times New Roman"/>
          <w:sz w:val="24"/>
          <w:szCs w:val="24"/>
        </w:rPr>
        <w:t>1.</w:t>
      </w:r>
      <w:r w:rsidR="00E45E03" w:rsidRPr="004B056A">
        <w:rPr>
          <w:rFonts w:ascii="Times New Roman" w:hAnsi="Times New Roman" w:cs="Times New Roman"/>
          <w:sz w:val="24"/>
          <w:szCs w:val="24"/>
        </w:rPr>
        <w:t xml:space="preserve"> </w:t>
      </w:r>
      <w:r w:rsidRPr="004B056A">
        <w:rPr>
          <w:rFonts w:ascii="Times New Roman" w:hAnsi="Times New Roman" w:cs="Times New Roman"/>
          <w:sz w:val="24"/>
          <w:szCs w:val="24"/>
        </w:rPr>
        <w:t>Per gli interventi di cui al presente articolo è autorizzata la spesa di 25 milioni di euro per l’anno 2025, 30 milioni di euro per l’anno 2026, 25 milioni di euro per l’anno 2027 e 20 milioni di euro annui per ciascuno degli anni 2028 e 2029. Le risorse di cui al primo periodo sono destinate:</w:t>
      </w:r>
    </w:p>
    <w:p w14:paraId="2F849979" w14:textId="54EE0CEA" w:rsidR="008D77CD" w:rsidRPr="004B056A" w:rsidRDefault="008D77CD" w:rsidP="00B716CC">
      <w:pPr>
        <w:spacing w:line="276" w:lineRule="auto"/>
        <w:jc w:val="both"/>
        <w:rPr>
          <w:rFonts w:ascii="Times New Roman" w:hAnsi="Times New Roman" w:cs="Times New Roman"/>
          <w:sz w:val="24"/>
          <w:szCs w:val="24"/>
        </w:rPr>
      </w:pPr>
      <w:r w:rsidRPr="004B056A">
        <w:rPr>
          <w:rFonts w:ascii="Times New Roman" w:hAnsi="Times New Roman" w:cs="Times New Roman"/>
          <w:sz w:val="24"/>
          <w:szCs w:val="24"/>
        </w:rPr>
        <w:t>a) quanto a 25 milioni di euro per l’anno 2025, 30 milioni di euro per l’anno 2026 e 15 milioni di euro per l’anno 2027 al completamento</w:t>
      </w:r>
      <w:r w:rsidR="004B056A" w:rsidRPr="004B056A">
        <w:rPr>
          <w:rFonts w:ascii="Times New Roman" w:hAnsi="Times New Roman" w:cs="Times New Roman"/>
          <w:sz w:val="24"/>
          <w:szCs w:val="24"/>
        </w:rPr>
        <w:t xml:space="preserve"> </w:t>
      </w:r>
      <w:r w:rsidRPr="004B056A">
        <w:rPr>
          <w:rFonts w:ascii="Times New Roman" w:hAnsi="Times New Roman" w:cs="Times New Roman"/>
          <w:sz w:val="24"/>
          <w:szCs w:val="24"/>
        </w:rPr>
        <w:t>da parte dell’Università degli studi di Genova della Scuola Politecnica – Polo Universitario di Ingegneria presso il Parco scientifico tecnologico di Genova Erzelli;</w:t>
      </w:r>
    </w:p>
    <w:p w14:paraId="0D008CD4" w14:textId="784244B6" w:rsidR="008D77CD" w:rsidRPr="004B056A" w:rsidRDefault="008D77CD" w:rsidP="00B716CC">
      <w:pPr>
        <w:spacing w:line="276" w:lineRule="auto"/>
        <w:jc w:val="both"/>
        <w:rPr>
          <w:rFonts w:ascii="Times New Roman" w:hAnsi="Times New Roman" w:cs="Times New Roman"/>
          <w:sz w:val="24"/>
          <w:szCs w:val="24"/>
        </w:rPr>
      </w:pPr>
      <w:r w:rsidRPr="004B056A">
        <w:rPr>
          <w:rFonts w:ascii="Times New Roman" w:hAnsi="Times New Roman" w:cs="Times New Roman"/>
          <w:sz w:val="24"/>
          <w:szCs w:val="24"/>
        </w:rPr>
        <w:t>b)</w:t>
      </w:r>
      <w:r w:rsidR="00307E25" w:rsidRPr="004B056A">
        <w:rPr>
          <w:rFonts w:ascii="Times New Roman" w:hAnsi="Times New Roman" w:cs="Times New Roman"/>
          <w:sz w:val="24"/>
          <w:szCs w:val="24"/>
        </w:rPr>
        <w:t xml:space="preserve"> </w:t>
      </w:r>
      <w:r w:rsidRPr="004B056A">
        <w:rPr>
          <w:rFonts w:ascii="Times New Roman" w:hAnsi="Times New Roman" w:cs="Times New Roman"/>
          <w:sz w:val="24"/>
          <w:szCs w:val="24"/>
        </w:rPr>
        <w:t xml:space="preserve">quanto a 10 milioni di euro per l’anno 2027 e 20 milioni di euro annui per ciascuno degli anni 2028 e 2029 a favore di interventi infrastrutturali della Regione Liguria.   </w:t>
      </w:r>
    </w:p>
    <w:p w14:paraId="69275AA2" w14:textId="0854025D" w:rsidR="008D77CD" w:rsidRPr="004B056A" w:rsidRDefault="008D77CD" w:rsidP="00B716CC">
      <w:pPr>
        <w:spacing w:line="276" w:lineRule="auto"/>
        <w:jc w:val="both"/>
        <w:rPr>
          <w:rFonts w:ascii="Times New Roman" w:hAnsi="Times New Roman" w:cs="Times New Roman"/>
          <w:sz w:val="24"/>
          <w:szCs w:val="24"/>
        </w:rPr>
      </w:pPr>
      <w:r w:rsidRPr="004B056A">
        <w:rPr>
          <w:rFonts w:ascii="Times New Roman" w:hAnsi="Times New Roman" w:cs="Times New Roman"/>
          <w:sz w:val="24"/>
          <w:szCs w:val="24"/>
        </w:rPr>
        <w:t>2.</w:t>
      </w:r>
      <w:r w:rsidR="00307E25" w:rsidRPr="004B056A">
        <w:rPr>
          <w:rFonts w:ascii="Times New Roman" w:hAnsi="Times New Roman" w:cs="Times New Roman"/>
          <w:sz w:val="24"/>
          <w:szCs w:val="24"/>
        </w:rPr>
        <w:t xml:space="preserve"> </w:t>
      </w:r>
      <w:r w:rsidRPr="004B056A">
        <w:rPr>
          <w:rFonts w:ascii="Times New Roman" w:hAnsi="Times New Roman" w:cs="Times New Roman"/>
          <w:sz w:val="24"/>
          <w:szCs w:val="24"/>
        </w:rPr>
        <w:t xml:space="preserve">Il fondo di cui all’articolo xxx della legge xxx è integrato di 20 milioni di euro per l’anno 2024. </w:t>
      </w:r>
    </w:p>
    <w:p w14:paraId="25CCECD8" w14:textId="756E449F" w:rsidR="008D77CD" w:rsidRPr="004B056A" w:rsidRDefault="008D77CD" w:rsidP="00B716CC">
      <w:pPr>
        <w:spacing w:line="276" w:lineRule="auto"/>
        <w:jc w:val="both"/>
        <w:rPr>
          <w:rFonts w:ascii="Times New Roman" w:hAnsi="Times New Roman" w:cs="Times New Roman"/>
          <w:sz w:val="24"/>
          <w:szCs w:val="24"/>
        </w:rPr>
      </w:pPr>
      <w:r w:rsidRPr="004B056A">
        <w:rPr>
          <w:rFonts w:ascii="Times New Roman" w:hAnsi="Times New Roman" w:cs="Times New Roman"/>
          <w:sz w:val="24"/>
          <w:szCs w:val="24"/>
        </w:rPr>
        <w:t>3.</w:t>
      </w:r>
      <w:r w:rsidR="00307E25" w:rsidRPr="004B056A">
        <w:rPr>
          <w:rFonts w:ascii="Times New Roman" w:hAnsi="Times New Roman" w:cs="Times New Roman"/>
          <w:sz w:val="24"/>
          <w:szCs w:val="24"/>
        </w:rPr>
        <w:t xml:space="preserve"> </w:t>
      </w:r>
      <w:r w:rsidRPr="004B056A">
        <w:rPr>
          <w:rFonts w:ascii="Times New Roman" w:hAnsi="Times New Roman" w:cs="Times New Roman"/>
          <w:sz w:val="24"/>
          <w:szCs w:val="24"/>
        </w:rPr>
        <w:t>Agli oneri derivanti dal presente articolo, pari a 20 milioni di euro per l’anno 2024, 25 milioni di euro per l’anno 2025, 30 milioni di euro per l’anno 2026, 25 milioni di euro per l’anno 2027 e 20 milioni di euro annui per ciascuno degli anni 2028 e 2029 si provvede:</w:t>
      </w:r>
    </w:p>
    <w:p w14:paraId="41A6D4D7" w14:textId="5D6AC501" w:rsidR="008D77CD" w:rsidRPr="004B056A" w:rsidRDefault="008D77CD" w:rsidP="00B716CC">
      <w:pPr>
        <w:spacing w:line="276" w:lineRule="auto"/>
        <w:jc w:val="both"/>
        <w:rPr>
          <w:rFonts w:ascii="Times New Roman" w:hAnsi="Times New Roman" w:cs="Times New Roman"/>
          <w:sz w:val="24"/>
          <w:szCs w:val="24"/>
        </w:rPr>
      </w:pPr>
      <w:r w:rsidRPr="004B056A">
        <w:rPr>
          <w:rFonts w:ascii="Times New Roman" w:hAnsi="Times New Roman" w:cs="Times New Roman"/>
          <w:sz w:val="24"/>
          <w:szCs w:val="24"/>
        </w:rPr>
        <w:t>a)</w:t>
      </w:r>
      <w:r w:rsidR="00307E25" w:rsidRPr="004B056A">
        <w:rPr>
          <w:rFonts w:ascii="Times New Roman" w:hAnsi="Times New Roman" w:cs="Times New Roman"/>
          <w:sz w:val="24"/>
          <w:szCs w:val="24"/>
        </w:rPr>
        <w:t xml:space="preserve"> </w:t>
      </w:r>
      <w:r w:rsidRPr="004B056A">
        <w:rPr>
          <w:rFonts w:ascii="Times New Roman" w:hAnsi="Times New Roman" w:cs="Times New Roman"/>
          <w:sz w:val="24"/>
          <w:szCs w:val="24"/>
        </w:rPr>
        <w:t>quanto a 20 milioni di euro annui per ciascuno degli anni dal 2024 al 2029, mediante corrispondente riduzione dell’autorizzazione di spesa di cui all’articolo 1, comma 277 della legge 30 dicembre 2023 n. 213, limitatamente alle risorse di cui al terzo intervento dell’allegato V, ivi richiamato;</w:t>
      </w:r>
    </w:p>
    <w:p w14:paraId="70914528" w14:textId="654FD1CF" w:rsidR="008D77CD" w:rsidRPr="004B056A" w:rsidRDefault="008D77CD" w:rsidP="00B716CC">
      <w:pPr>
        <w:spacing w:line="276" w:lineRule="auto"/>
        <w:jc w:val="both"/>
        <w:rPr>
          <w:rFonts w:ascii="Times New Roman" w:hAnsi="Times New Roman" w:cs="Times New Roman"/>
          <w:sz w:val="24"/>
          <w:szCs w:val="24"/>
        </w:rPr>
      </w:pPr>
      <w:r w:rsidRPr="004B056A">
        <w:rPr>
          <w:rFonts w:ascii="Times New Roman" w:hAnsi="Times New Roman" w:cs="Times New Roman"/>
          <w:sz w:val="24"/>
          <w:szCs w:val="24"/>
        </w:rPr>
        <w:t>b)</w:t>
      </w:r>
      <w:r w:rsidR="00307E25" w:rsidRPr="004B056A">
        <w:rPr>
          <w:rFonts w:ascii="Times New Roman" w:hAnsi="Times New Roman" w:cs="Times New Roman"/>
          <w:sz w:val="24"/>
          <w:szCs w:val="24"/>
        </w:rPr>
        <w:t xml:space="preserve"> </w:t>
      </w:r>
      <w:r w:rsidRPr="004B056A">
        <w:rPr>
          <w:rFonts w:ascii="Times New Roman" w:hAnsi="Times New Roman" w:cs="Times New Roman"/>
          <w:sz w:val="24"/>
          <w:szCs w:val="24"/>
        </w:rPr>
        <w:t>quanto a 5 milioni di euro per l’anno 2025, 10 milioni di euro per l’anno 2026 e 5</w:t>
      </w:r>
      <w:r w:rsidR="0052757B" w:rsidRPr="004B056A">
        <w:rPr>
          <w:rFonts w:ascii="Times New Roman" w:hAnsi="Times New Roman" w:cs="Times New Roman"/>
          <w:sz w:val="24"/>
          <w:szCs w:val="24"/>
        </w:rPr>
        <w:t xml:space="preserve"> </w:t>
      </w:r>
      <w:r w:rsidRPr="004B056A">
        <w:rPr>
          <w:rFonts w:ascii="Times New Roman" w:hAnsi="Times New Roman" w:cs="Times New Roman"/>
          <w:sz w:val="24"/>
          <w:szCs w:val="24"/>
        </w:rPr>
        <w:t xml:space="preserve">milioni di euro per l’anno 2027 si provvede mediante corrispondente riduzione </w:t>
      </w:r>
      <w:r w:rsidR="00AC5421" w:rsidRPr="004B056A">
        <w:rPr>
          <w:rFonts w:ascii="Times New Roman" w:hAnsi="Times New Roman" w:cs="Times New Roman"/>
          <w:sz w:val="24"/>
          <w:szCs w:val="24"/>
        </w:rPr>
        <w:t>[</w:t>
      </w:r>
      <w:r w:rsidRPr="004B056A">
        <w:rPr>
          <w:rFonts w:ascii="Times New Roman" w:hAnsi="Times New Roman" w:cs="Times New Roman"/>
          <w:sz w:val="24"/>
          <w:szCs w:val="24"/>
        </w:rPr>
        <w:t>…</w:t>
      </w:r>
      <w:r w:rsidR="00AC5421" w:rsidRPr="004B056A">
        <w:rPr>
          <w:rFonts w:ascii="Times New Roman" w:hAnsi="Times New Roman" w:cs="Times New Roman"/>
          <w:sz w:val="24"/>
          <w:szCs w:val="24"/>
        </w:rPr>
        <w:t>]</w:t>
      </w:r>
    </w:p>
    <w:p w14:paraId="6A3AB1D0" w14:textId="77777777" w:rsidR="00AC5421" w:rsidRPr="007B5BC4" w:rsidRDefault="00AC5421" w:rsidP="00B716CC">
      <w:pPr>
        <w:spacing w:line="276" w:lineRule="auto"/>
        <w:jc w:val="both"/>
        <w:rPr>
          <w:rFonts w:ascii="Times New Roman" w:eastAsia="Calibri" w:hAnsi="Times New Roman" w:cs="Times New Roman"/>
          <w:kern w:val="0"/>
          <w:sz w:val="24"/>
          <w:szCs w:val="24"/>
          <w14:ligatures w14:val="standardContextual"/>
        </w:rPr>
      </w:pPr>
    </w:p>
    <w:p w14:paraId="4D934F3E" w14:textId="77777777" w:rsidR="00756C0E" w:rsidRPr="007B5BC4" w:rsidRDefault="00756C0E" w:rsidP="00B716CC">
      <w:pPr>
        <w:spacing w:line="276" w:lineRule="auto"/>
        <w:jc w:val="both"/>
        <w:rPr>
          <w:rFonts w:ascii="Times New Roman" w:eastAsia="Calibri" w:hAnsi="Times New Roman" w:cs="Times New Roman"/>
          <w:kern w:val="0"/>
          <w:sz w:val="24"/>
          <w:szCs w:val="24"/>
          <w14:ligatures w14:val="standardContextual"/>
        </w:rPr>
      </w:pPr>
    </w:p>
    <w:p w14:paraId="66FBAC8A" w14:textId="6A8562E1" w:rsidR="00E72B87" w:rsidRPr="007B5BC4" w:rsidRDefault="00E72B87" w:rsidP="00806E48">
      <w:pPr>
        <w:spacing w:after="0" w:line="276" w:lineRule="auto"/>
        <w:ind w:left="1080" w:right="566" w:hanging="654"/>
        <w:jc w:val="center"/>
        <w:rPr>
          <w:rFonts w:ascii="Times New Roman" w:eastAsia="Calibri" w:hAnsi="Times New Roman" w:cs="Times New Roman"/>
          <w:b/>
          <w:bCs/>
          <w:sz w:val="24"/>
          <w:szCs w:val="24"/>
        </w:rPr>
      </w:pPr>
      <w:r w:rsidRPr="007B5BC4">
        <w:rPr>
          <w:rFonts w:ascii="Times New Roman" w:eastAsia="Calibri" w:hAnsi="Times New Roman" w:cs="Times New Roman"/>
          <w:b/>
          <w:bCs/>
          <w:sz w:val="24"/>
          <w:szCs w:val="24"/>
        </w:rPr>
        <w:t>TITOLO I</w:t>
      </w:r>
      <w:r w:rsidR="00E025C7" w:rsidRPr="007B5BC4">
        <w:rPr>
          <w:rFonts w:ascii="Times New Roman" w:eastAsia="Calibri" w:hAnsi="Times New Roman" w:cs="Times New Roman"/>
          <w:b/>
          <w:bCs/>
          <w:sz w:val="24"/>
          <w:szCs w:val="24"/>
        </w:rPr>
        <w:t>I</w:t>
      </w:r>
    </w:p>
    <w:p w14:paraId="60172217" w14:textId="6CA0A922" w:rsidR="00E72B87" w:rsidRPr="007B5BC4" w:rsidRDefault="00E72B87" w:rsidP="00806E48">
      <w:pPr>
        <w:spacing w:after="0" w:line="276" w:lineRule="auto"/>
        <w:ind w:left="1080" w:right="566" w:hanging="654"/>
        <w:jc w:val="center"/>
        <w:rPr>
          <w:rFonts w:ascii="Times New Roman" w:eastAsia="Calibri" w:hAnsi="Times New Roman" w:cs="Times New Roman"/>
          <w:b/>
          <w:bCs/>
          <w:sz w:val="24"/>
          <w:szCs w:val="24"/>
        </w:rPr>
      </w:pPr>
      <w:r w:rsidRPr="007B5BC4">
        <w:rPr>
          <w:rFonts w:ascii="Times New Roman" w:hAnsi="Times New Roman" w:cs="Times New Roman"/>
          <w:b/>
          <w:bCs/>
          <w:sz w:val="24"/>
          <w:szCs w:val="24"/>
        </w:rPr>
        <w:t>INVESTIMENTI DI INTERESSE STRATEGICO</w:t>
      </w:r>
    </w:p>
    <w:p w14:paraId="5F79AA52" w14:textId="77777777" w:rsidR="003178BC" w:rsidRPr="007B5BC4" w:rsidRDefault="003178BC" w:rsidP="00806E48">
      <w:pPr>
        <w:spacing w:line="276" w:lineRule="auto"/>
        <w:jc w:val="center"/>
        <w:rPr>
          <w:rFonts w:ascii="Times New Roman" w:eastAsia="Calibri" w:hAnsi="Times New Roman" w:cs="Times New Roman"/>
          <w:b/>
          <w:bCs/>
          <w:kern w:val="0"/>
          <w:sz w:val="24"/>
          <w:szCs w:val="24"/>
          <w14:ligatures w14:val="standardContextual"/>
        </w:rPr>
      </w:pPr>
    </w:p>
    <w:p w14:paraId="2AF1314F" w14:textId="2D8B81D6" w:rsidR="003178BC" w:rsidRPr="005A21B5" w:rsidRDefault="003178BC" w:rsidP="00806E48">
      <w:pPr>
        <w:snapToGrid w:val="0"/>
        <w:spacing w:before="120" w:after="120" w:line="276" w:lineRule="auto"/>
        <w:jc w:val="center"/>
        <w:outlineLvl w:val="1"/>
        <w:rPr>
          <w:rFonts w:ascii="Times New Roman" w:eastAsia="Calibri" w:hAnsi="Times New Roman" w:cs="Times New Roman"/>
          <w:b/>
          <w:bCs/>
          <w:kern w:val="0"/>
          <w:sz w:val="24"/>
          <w:szCs w:val="24"/>
          <w:highlight w:val="yellow"/>
          <w14:ligatures w14:val="standardContextual"/>
        </w:rPr>
      </w:pPr>
      <w:r w:rsidRPr="005A21B5">
        <w:rPr>
          <w:rFonts w:ascii="Times New Roman" w:eastAsia="Calibri" w:hAnsi="Times New Roman" w:cs="Times New Roman"/>
          <w:b/>
          <w:bCs/>
          <w:kern w:val="0"/>
          <w:sz w:val="24"/>
          <w:szCs w:val="24"/>
          <w:highlight w:val="yellow"/>
          <w14:ligatures w14:val="standardContextual"/>
        </w:rPr>
        <w:t xml:space="preserve">ART. </w:t>
      </w:r>
      <w:r w:rsidR="00163E00" w:rsidRPr="005A21B5">
        <w:rPr>
          <w:rFonts w:ascii="Times New Roman" w:eastAsia="Calibri" w:hAnsi="Times New Roman" w:cs="Times New Roman"/>
          <w:b/>
          <w:bCs/>
          <w:kern w:val="0"/>
          <w:sz w:val="24"/>
          <w:szCs w:val="24"/>
          <w:highlight w:val="yellow"/>
          <w14:ligatures w14:val="standardContextual"/>
        </w:rPr>
        <w:t>10</w:t>
      </w:r>
    </w:p>
    <w:p w14:paraId="01FD6963" w14:textId="15CB0769" w:rsidR="003178BC" w:rsidRPr="005A21B5" w:rsidRDefault="003178BC" w:rsidP="00806E48">
      <w:pPr>
        <w:snapToGrid w:val="0"/>
        <w:spacing w:before="120" w:after="120" w:line="276" w:lineRule="auto"/>
        <w:jc w:val="center"/>
        <w:outlineLvl w:val="1"/>
        <w:rPr>
          <w:rFonts w:ascii="Times New Roman" w:eastAsia="Calibri" w:hAnsi="Times New Roman" w:cs="Times New Roman"/>
          <w:b/>
          <w:bCs/>
          <w:i/>
          <w:iCs/>
          <w:kern w:val="0"/>
          <w:sz w:val="24"/>
          <w:szCs w:val="24"/>
          <w:highlight w:val="yellow"/>
          <w14:ligatures w14:val="standardContextual"/>
        </w:rPr>
      </w:pPr>
      <w:r w:rsidRPr="005A21B5">
        <w:rPr>
          <w:rFonts w:ascii="Times New Roman" w:eastAsia="Calibri" w:hAnsi="Times New Roman" w:cs="Times New Roman"/>
          <w:b/>
          <w:bCs/>
          <w:kern w:val="0"/>
          <w:sz w:val="24"/>
          <w:szCs w:val="24"/>
          <w:highlight w:val="yellow"/>
          <w14:ligatures w14:val="standardContextual"/>
        </w:rPr>
        <w:lastRenderedPageBreak/>
        <w:t>(</w:t>
      </w:r>
      <w:r w:rsidRPr="005A21B5">
        <w:rPr>
          <w:rFonts w:ascii="Times New Roman" w:eastAsia="Calibri" w:hAnsi="Times New Roman" w:cs="Times New Roman"/>
          <w:b/>
          <w:bCs/>
          <w:i/>
          <w:iCs/>
          <w:kern w:val="0"/>
          <w:sz w:val="24"/>
          <w:szCs w:val="24"/>
          <w:highlight w:val="yellow"/>
          <w14:ligatures w14:val="standardContextual"/>
        </w:rPr>
        <w:t>Misure urgenti per il sostegno della presenza di imprese italiane nel Continente africano</w:t>
      </w:r>
      <w:r w:rsidR="0083780C" w:rsidRPr="005A21B5">
        <w:rPr>
          <w:rFonts w:ascii="Times New Roman" w:eastAsia="Calibri" w:hAnsi="Times New Roman" w:cs="Times New Roman"/>
          <w:b/>
          <w:bCs/>
          <w:i/>
          <w:iCs/>
          <w:kern w:val="0"/>
          <w:sz w:val="24"/>
          <w:szCs w:val="24"/>
          <w:highlight w:val="yellow"/>
          <w14:ligatures w14:val="standardContextual"/>
        </w:rPr>
        <w:t xml:space="preserve"> e per l’internalizzazione delle imprese italiane</w:t>
      </w:r>
      <w:r w:rsidRPr="005A21B5">
        <w:rPr>
          <w:rFonts w:ascii="Times New Roman" w:eastAsia="Calibri" w:hAnsi="Times New Roman" w:cs="Times New Roman"/>
          <w:b/>
          <w:bCs/>
          <w:i/>
          <w:iCs/>
          <w:kern w:val="0"/>
          <w:sz w:val="24"/>
          <w:szCs w:val="24"/>
          <w:highlight w:val="yellow"/>
          <w14:ligatures w14:val="standardContextual"/>
        </w:rPr>
        <w:t>)</w:t>
      </w:r>
    </w:p>
    <w:p w14:paraId="526529A0" w14:textId="35BF0DAF" w:rsidR="000F546D" w:rsidRPr="005A21B5" w:rsidRDefault="000F546D" w:rsidP="00B716CC">
      <w:pPr>
        <w:spacing w:after="120" w:line="276" w:lineRule="auto"/>
        <w:ind w:right="140"/>
        <w:contextualSpacing/>
        <w:jc w:val="both"/>
        <w:rPr>
          <w:rFonts w:ascii="Times New Roman" w:eastAsia="Calibri" w:hAnsi="Times New Roman" w:cs="Times New Roman"/>
          <w:sz w:val="24"/>
          <w:szCs w:val="24"/>
          <w:highlight w:val="yellow"/>
        </w:rPr>
      </w:pPr>
      <w:r w:rsidRPr="005A21B5">
        <w:rPr>
          <w:rFonts w:ascii="Times New Roman" w:eastAsia="Calibri" w:hAnsi="Times New Roman" w:cs="Times New Roman"/>
          <w:sz w:val="24"/>
          <w:szCs w:val="24"/>
          <w:highlight w:val="yellow"/>
        </w:rPr>
        <w:t xml:space="preserve">1. Le disponibilità del fondo rotativo di cui all’articolo 2, primo comma, del decreto-legge 28 maggio 1981, n. 251, convertito, con modificazioni, dalla legge 29 luglio 1981, n. 394, possono essere utilizzate per </w:t>
      </w:r>
      <w:bookmarkStart w:id="11" w:name="_Hlk163035165"/>
      <w:r w:rsidRPr="005A21B5">
        <w:rPr>
          <w:rFonts w:ascii="Times New Roman" w:eastAsia="Calibri" w:hAnsi="Times New Roman" w:cs="Times New Roman"/>
          <w:sz w:val="24"/>
          <w:szCs w:val="24"/>
          <w:highlight w:val="yellow"/>
        </w:rPr>
        <w:t xml:space="preserve">concedere finanziamenti agevolati alle imprese </w:t>
      </w:r>
      <w:bookmarkStart w:id="12" w:name="_Hlk163032439"/>
      <w:r w:rsidRPr="005A21B5">
        <w:rPr>
          <w:rFonts w:ascii="Times New Roman" w:eastAsia="Calibri" w:hAnsi="Times New Roman" w:cs="Times New Roman"/>
          <w:sz w:val="24"/>
          <w:szCs w:val="24"/>
          <w:highlight w:val="yellow"/>
        </w:rPr>
        <w:t>che stabilmente sono presenti, esportano o si approvvigionano nel continente africano, ovvero che sono stabilmente fornitrici delle predette imprese,</w:t>
      </w:r>
      <w:r w:rsidRPr="005A21B5" w:rsidDel="00DA365C">
        <w:rPr>
          <w:rFonts w:ascii="Times New Roman" w:eastAsia="Calibri" w:hAnsi="Times New Roman" w:cs="Times New Roman"/>
          <w:sz w:val="24"/>
          <w:szCs w:val="24"/>
          <w:highlight w:val="yellow"/>
        </w:rPr>
        <w:t xml:space="preserve"> </w:t>
      </w:r>
      <w:r w:rsidRPr="005A21B5">
        <w:rPr>
          <w:rFonts w:ascii="Times New Roman" w:eastAsia="Calibri" w:hAnsi="Times New Roman" w:cs="Times New Roman"/>
          <w:sz w:val="24"/>
          <w:szCs w:val="24"/>
          <w:highlight w:val="yellow"/>
        </w:rPr>
        <w:t>al fine di sostenerne spese di investimento per il rafforzamento patrimoniale, investimenti digitali, ecologici, nonché produttivi o commerciali</w:t>
      </w:r>
      <w:bookmarkEnd w:id="11"/>
      <w:r w:rsidRPr="005A21B5">
        <w:rPr>
          <w:rFonts w:ascii="Times New Roman" w:eastAsia="Calibri" w:hAnsi="Times New Roman" w:cs="Times New Roman"/>
          <w:sz w:val="24"/>
          <w:szCs w:val="24"/>
          <w:highlight w:val="yellow"/>
        </w:rPr>
        <w:t xml:space="preserve">. </w:t>
      </w:r>
      <w:bookmarkEnd w:id="12"/>
      <w:r w:rsidRPr="005A21B5">
        <w:rPr>
          <w:rFonts w:ascii="Times New Roman" w:eastAsia="Calibri" w:hAnsi="Times New Roman" w:cs="Times New Roman"/>
          <w:sz w:val="24"/>
          <w:szCs w:val="24"/>
          <w:highlight w:val="yellow"/>
        </w:rPr>
        <w:t xml:space="preserve">Nei casi previsti dal presente comma è ammesso il cofinanziamento a fondo perduto di cui all’articolo 72, comma 1, lettera </w:t>
      </w:r>
      <w:r w:rsidRPr="005A21B5">
        <w:rPr>
          <w:rFonts w:ascii="Times New Roman" w:eastAsia="Calibri" w:hAnsi="Times New Roman" w:cs="Times New Roman"/>
          <w:i/>
          <w:iCs/>
          <w:sz w:val="24"/>
          <w:szCs w:val="24"/>
          <w:highlight w:val="yellow"/>
        </w:rPr>
        <w:t>d)</w:t>
      </w:r>
      <w:r w:rsidRPr="005A21B5">
        <w:rPr>
          <w:rFonts w:ascii="Times New Roman" w:eastAsia="Calibri" w:hAnsi="Times New Roman" w:cs="Times New Roman"/>
          <w:sz w:val="24"/>
          <w:szCs w:val="24"/>
          <w:highlight w:val="yellow"/>
        </w:rPr>
        <w:t>, del decreto-legge 17 marzo 2020, n. 18, convertito, con modificazioni, dalla legge 24 aprile 2020, n. 27.</w:t>
      </w:r>
    </w:p>
    <w:p w14:paraId="0DFAC03C" w14:textId="10671DD9" w:rsidR="000F546D" w:rsidRPr="005A21B5" w:rsidRDefault="00CF2CB9" w:rsidP="00B716CC">
      <w:pPr>
        <w:spacing w:after="120" w:line="276" w:lineRule="auto"/>
        <w:ind w:right="140"/>
        <w:contextualSpacing/>
        <w:jc w:val="both"/>
        <w:rPr>
          <w:rFonts w:ascii="Times New Roman" w:eastAsia="Calibri" w:hAnsi="Times New Roman" w:cs="Times New Roman"/>
          <w:sz w:val="24"/>
          <w:szCs w:val="24"/>
          <w:highlight w:val="yellow"/>
        </w:rPr>
      </w:pPr>
      <w:r w:rsidRPr="005A21B5">
        <w:rPr>
          <w:rFonts w:ascii="Times New Roman" w:eastAsia="Calibri" w:hAnsi="Times New Roman" w:cs="Times New Roman"/>
          <w:sz w:val="24"/>
          <w:szCs w:val="24"/>
          <w:highlight w:val="yellow"/>
        </w:rPr>
        <w:t xml:space="preserve">2. </w:t>
      </w:r>
      <w:r w:rsidR="000F546D" w:rsidRPr="005A21B5">
        <w:rPr>
          <w:rFonts w:ascii="Times New Roman" w:eastAsia="Calibri" w:hAnsi="Times New Roman" w:cs="Times New Roman"/>
          <w:sz w:val="24"/>
          <w:szCs w:val="24"/>
          <w:highlight w:val="yellow"/>
        </w:rPr>
        <w:t xml:space="preserve">La misura di cui al comma 1 si applica nel rispetto del Regolamento (UE) 2023/2831 della Commissione europea del 13 dicembre 2023, secondo condizioni, termini e modalità stabiliti </w:t>
      </w:r>
      <w:bookmarkStart w:id="13" w:name="_Hlk162979537"/>
      <w:r w:rsidR="000F546D" w:rsidRPr="005A21B5">
        <w:rPr>
          <w:rFonts w:ascii="Times New Roman" w:eastAsia="Calibri" w:hAnsi="Times New Roman" w:cs="Times New Roman"/>
          <w:sz w:val="24"/>
          <w:szCs w:val="24"/>
          <w:highlight w:val="yellow"/>
        </w:rPr>
        <w:t>con una o più deliberazioni del Comitato agevolazioni di cui all’articolo 1, comma 270, della legge 27 dicembre 2017, n. 205</w:t>
      </w:r>
      <w:bookmarkEnd w:id="13"/>
      <w:r w:rsidR="000F546D" w:rsidRPr="005A21B5">
        <w:rPr>
          <w:rFonts w:ascii="Times New Roman" w:eastAsia="Calibri" w:hAnsi="Times New Roman" w:cs="Times New Roman"/>
          <w:sz w:val="24"/>
          <w:szCs w:val="24"/>
          <w:highlight w:val="yellow"/>
        </w:rPr>
        <w:t>, che determina, nel limite di euro 200 milioni, la quota parte delle risorse del fondo rotativo di cui all’articolo 2, primo comma, del decreto-legge 28 maggio 1981, n. 251, convertito, con modificazioni, dalla legge 29 luglio 1981, n. 394, da destinare alla misura di cui al comma 1.</w:t>
      </w:r>
    </w:p>
    <w:p w14:paraId="67AD80DB" w14:textId="77061E9E" w:rsidR="000F546D" w:rsidRPr="005A21B5" w:rsidRDefault="00CF2CB9" w:rsidP="00B716CC">
      <w:pPr>
        <w:spacing w:after="120" w:line="276" w:lineRule="auto"/>
        <w:ind w:right="140"/>
        <w:contextualSpacing/>
        <w:jc w:val="both"/>
        <w:rPr>
          <w:rFonts w:ascii="Times New Roman" w:eastAsia="Calibri" w:hAnsi="Times New Roman" w:cs="Times New Roman"/>
          <w:sz w:val="24"/>
          <w:szCs w:val="24"/>
          <w:highlight w:val="yellow"/>
        </w:rPr>
      </w:pPr>
      <w:r w:rsidRPr="005A21B5">
        <w:rPr>
          <w:rFonts w:ascii="Times New Roman" w:eastAsia="Calibri" w:hAnsi="Times New Roman" w:cs="Times New Roman"/>
          <w:sz w:val="24"/>
          <w:szCs w:val="24"/>
          <w:highlight w:val="yellow"/>
        </w:rPr>
        <w:t xml:space="preserve">3. </w:t>
      </w:r>
      <w:r w:rsidR="000F546D" w:rsidRPr="005A21B5">
        <w:rPr>
          <w:rFonts w:ascii="Times New Roman" w:eastAsia="Calibri" w:hAnsi="Times New Roman" w:cs="Times New Roman"/>
          <w:sz w:val="24"/>
          <w:szCs w:val="24"/>
          <w:highlight w:val="yellow"/>
        </w:rPr>
        <w:t>Possono accedere alla misura di cui al comma 1 le imprese con sede legale in Italia che, alternativamente:</w:t>
      </w:r>
    </w:p>
    <w:p w14:paraId="06354135" w14:textId="77777777" w:rsidR="000F546D" w:rsidRPr="005A21B5" w:rsidRDefault="000F546D" w:rsidP="00B716CC">
      <w:pPr>
        <w:numPr>
          <w:ilvl w:val="0"/>
          <w:numId w:val="2"/>
        </w:numPr>
        <w:spacing w:after="0" w:line="276" w:lineRule="auto"/>
        <w:ind w:left="567" w:right="140" w:hanging="284"/>
        <w:contextualSpacing/>
        <w:jc w:val="both"/>
        <w:rPr>
          <w:rFonts w:ascii="Times New Roman" w:eastAsia="Calibri" w:hAnsi="Times New Roman" w:cs="Times New Roman"/>
          <w:sz w:val="24"/>
          <w:szCs w:val="24"/>
          <w:highlight w:val="yellow"/>
        </w:rPr>
      </w:pPr>
      <w:r w:rsidRPr="005A21B5">
        <w:rPr>
          <w:rFonts w:ascii="Times New Roman" w:eastAsia="Calibri" w:hAnsi="Times New Roman" w:cs="Times New Roman"/>
          <w:sz w:val="24"/>
          <w:szCs w:val="24"/>
          <w:highlight w:val="yellow"/>
        </w:rPr>
        <w:t>hanno realizzato un fatturato estero non inferiore alla quota minima stabilita con la deliberazione di cui al comma 2 e che:</w:t>
      </w:r>
    </w:p>
    <w:p w14:paraId="44133418" w14:textId="77777777" w:rsidR="000F546D" w:rsidRPr="005A21B5" w:rsidRDefault="000F546D" w:rsidP="00B716CC">
      <w:pPr>
        <w:numPr>
          <w:ilvl w:val="0"/>
          <w:numId w:val="1"/>
        </w:numPr>
        <w:spacing w:after="0" w:line="276" w:lineRule="auto"/>
        <w:ind w:left="851" w:right="140" w:hanging="283"/>
        <w:jc w:val="both"/>
        <w:rPr>
          <w:rFonts w:ascii="Times New Roman" w:eastAsia="Calibri" w:hAnsi="Times New Roman" w:cs="Times New Roman"/>
          <w:sz w:val="24"/>
          <w:szCs w:val="24"/>
          <w:highlight w:val="yellow"/>
        </w:rPr>
      </w:pPr>
      <w:bookmarkStart w:id="14" w:name="_Hlk163044483"/>
      <w:r w:rsidRPr="005A21B5">
        <w:rPr>
          <w:rFonts w:ascii="Times New Roman" w:eastAsia="Calibri" w:hAnsi="Times New Roman" w:cs="Times New Roman"/>
          <w:sz w:val="24"/>
          <w:szCs w:val="24"/>
          <w:highlight w:val="yellow"/>
        </w:rPr>
        <w:t>sono stabilmente presenti sul mercato africano, oppure</w:t>
      </w:r>
    </w:p>
    <w:p w14:paraId="2FC24C25" w14:textId="77777777" w:rsidR="000F546D" w:rsidRPr="005A21B5" w:rsidRDefault="000F546D" w:rsidP="00B716CC">
      <w:pPr>
        <w:numPr>
          <w:ilvl w:val="0"/>
          <w:numId w:val="1"/>
        </w:numPr>
        <w:spacing w:after="0" w:line="276" w:lineRule="auto"/>
        <w:ind w:left="851" w:right="140" w:hanging="283"/>
        <w:jc w:val="both"/>
        <w:rPr>
          <w:rFonts w:ascii="Times New Roman" w:eastAsia="Calibri" w:hAnsi="Times New Roman" w:cs="Times New Roman"/>
          <w:sz w:val="24"/>
          <w:szCs w:val="24"/>
          <w:highlight w:val="yellow"/>
        </w:rPr>
      </w:pPr>
      <w:r w:rsidRPr="005A21B5">
        <w:rPr>
          <w:rFonts w:ascii="Times New Roman" w:eastAsia="Calibri" w:hAnsi="Times New Roman" w:cs="Times New Roman"/>
          <w:sz w:val="24"/>
          <w:szCs w:val="24"/>
          <w:highlight w:val="yellow"/>
        </w:rPr>
        <w:t xml:space="preserve">hanno realizzato esportazioni verso i mercati africani o importazioni dai mercati africani </w:t>
      </w:r>
      <w:bookmarkEnd w:id="14"/>
      <w:r w:rsidRPr="005A21B5">
        <w:rPr>
          <w:rFonts w:ascii="Times New Roman" w:eastAsia="Calibri" w:hAnsi="Times New Roman" w:cs="Times New Roman"/>
          <w:sz w:val="24"/>
          <w:szCs w:val="24"/>
          <w:highlight w:val="yellow"/>
        </w:rPr>
        <w:t>in misura non inferiore a soglie stabilite con deliberazione di cui al comma 2;</w:t>
      </w:r>
    </w:p>
    <w:p w14:paraId="4BEFEF99" w14:textId="77777777" w:rsidR="000F546D" w:rsidRPr="005A21B5" w:rsidRDefault="000F546D" w:rsidP="00B716CC">
      <w:pPr>
        <w:numPr>
          <w:ilvl w:val="0"/>
          <w:numId w:val="2"/>
        </w:numPr>
        <w:spacing w:after="0" w:line="276" w:lineRule="auto"/>
        <w:ind w:left="567" w:right="140" w:hanging="284"/>
        <w:contextualSpacing/>
        <w:jc w:val="both"/>
        <w:rPr>
          <w:rFonts w:ascii="Times New Roman" w:eastAsia="Calibri" w:hAnsi="Times New Roman" w:cs="Times New Roman"/>
          <w:sz w:val="24"/>
          <w:szCs w:val="24"/>
          <w:highlight w:val="yellow"/>
        </w:rPr>
      </w:pPr>
      <w:r w:rsidRPr="005A21B5">
        <w:rPr>
          <w:rFonts w:ascii="Times New Roman" w:eastAsia="Calibri" w:hAnsi="Times New Roman" w:cs="Times New Roman"/>
          <w:sz w:val="24"/>
          <w:szCs w:val="24"/>
          <w:highlight w:val="yellow"/>
        </w:rPr>
        <w:t>sono parte di una filiera produttiva a vocazione esportatrice e il cui fatturato, in misura non inferiore alla soglia stabilita con deliberazione di cui al comma 2, deriva da comprovate operazioni di fornitura a beneficio di imprese che:</w:t>
      </w:r>
    </w:p>
    <w:p w14:paraId="4EC79759" w14:textId="77777777" w:rsidR="000F546D" w:rsidRPr="005A21B5" w:rsidRDefault="000F546D" w:rsidP="00B716CC">
      <w:pPr>
        <w:numPr>
          <w:ilvl w:val="0"/>
          <w:numId w:val="3"/>
        </w:numPr>
        <w:spacing w:after="0" w:line="276" w:lineRule="auto"/>
        <w:ind w:left="851" w:right="140" w:hanging="283"/>
        <w:jc w:val="both"/>
        <w:rPr>
          <w:rFonts w:ascii="Times New Roman" w:eastAsia="Calibri" w:hAnsi="Times New Roman" w:cs="Times New Roman"/>
          <w:sz w:val="24"/>
          <w:szCs w:val="24"/>
          <w:highlight w:val="yellow"/>
        </w:rPr>
      </w:pPr>
      <w:r w:rsidRPr="005A21B5">
        <w:rPr>
          <w:rFonts w:ascii="Times New Roman" w:eastAsia="Calibri" w:hAnsi="Times New Roman" w:cs="Times New Roman"/>
          <w:sz w:val="24"/>
          <w:szCs w:val="24"/>
          <w:highlight w:val="yellow"/>
        </w:rPr>
        <w:t xml:space="preserve">sono stabilmente presenti sul mercato africano, oppure </w:t>
      </w:r>
    </w:p>
    <w:p w14:paraId="5A061835" w14:textId="77777777" w:rsidR="000F546D" w:rsidRPr="005A21B5" w:rsidRDefault="000F546D" w:rsidP="00B716CC">
      <w:pPr>
        <w:numPr>
          <w:ilvl w:val="0"/>
          <w:numId w:val="3"/>
        </w:numPr>
        <w:spacing w:after="0" w:line="276" w:lineRule="auto"/>
        <w:ind w:left="851" w:right="140" w:hanging="283"/>
        <w:jc w:val="both"/>
        <w:rPr>
          <w:rFonts w:ascii="Times New Roman" w:eastAsia="Calibri" w:hAnsi="Times New Roman" w:cs="Times New Roman"/>
          <w:i/>
          <w:iCs/>
          <w:sz w:val="24"/>
          <w:szCs w:val="24"/>
          <w:highlight w:val="yellow"/>
        </w:rPr>
      </w:pPr>
      <w:r w:rsidRPr="005A21B5">
        <w:rPr>
          <w:rFonts w:ascii="Times New Roman" w:eastAsia="Calibri" w:hAnsi="Times New Roman" w:cs="Times New Roman"/>
          <w:sz w:val="24"/>
          <w:szCs w:val="24"/>
          <w:highlight w:val="yellow"/>
        </w:rPr>
        <w:t>hanno realizzato esportazioni verso i mercati africani ovvero importazioni dai mercati africani, in misura non inferiore a soglie stabilite con deliberazione di cui al comma 2.</w:t>
      </w:r>
    </w:p>
    <w:p w14:paraId="42803D8E" w14:textId="2F38A42F" w:rsidR="003178BC" w:rsidRPr="005A21B5" w:rsidRDefault="00CF2CB9" w:rsidP="00B716CC">
      <w:pPr>
        <w:spacing w:after="0" w:line="276" w:lineRule="auto"/>
        <w:ind w:right="140"/>
        <w:jc w:val="both"/>
        <w:rPr>
          <w:rFonts w:ascii="Times New Roman" w:eastAsia="Calibri" w:hAnsi="Times New Roman" w:cs="Times New Roman"/>
          <w:sz w:val="24"/>
          <w:szCs w:val="24"/>
          <w:highlight w:val="yellow"/>
        </w:rPr>
      </w:pPr>
      <w:bookmarkStart w:id="15" w:name="_Hlk163051793"/>
      <w:r w:rsidRPr="005A21B5">
        <w:rPr>
          <w:rFonts w:ascii="Times New Roman" w:eastAsia="Calibri" w:hAnsi="Times New Roman" w:cs="Times New Roman"/>
          <w:iCs/>
          <w:sz w:val="24"/>
          <w:szCs w:val="24"/>
          <w:highlight w:val="yellow"/>
        </w:rPr>
        <w:t xml:space="preserve">4. </w:t>
      </w:r>
      <w:r w:rsidR="000F546D" w:rsidRPr="005A21B5">
        <w:rPr>
          <w:rFonts w:ascii="Times New Roman" w:eastAsia="Calibri" w:hAnsi="Times New Roman" w:cs="Times New Roman"/>
          <w:sz w:val="24"/>
          <w:szCs w:val="24"/>
          <w:highlight w:val="yellow"/>
        </w:rPr>
        <w:t xml:space="preserve">Per le domande di finanziamento agevolato del fondo rotativo di cui all’articolo 2, primo comma, del decreto-legge 28 maggio 1981, n. 251, convertito, con modificazioni, dalla legge 29 luglio 1981, n. 394, riguardanti il Continente africano proposte da </w:t>
      </w:r>
      <w:bookmarkStart w:id="16" w:name="_Hlk157015412"/>
      <w:r w:rsidR="000F546D" w:rsidRPr="005A21B5">
        <w:rPr>
          <w:rFonts w:ascii="Times New Roman" w:eastAsia="Calibri" w:hAnsi="Times New Roman" w:cs="Times New Roman"/>
          <w:sz w:val="24"/>
          <w:szCs w:val="24"/>
          <w:highlight w:val="yellow"/>
        </w:rPr>
        <w:t>imprese localizzate</w:t>
      </w:r>
      <w:bookmarkEnd w:id="15"/>
      <w:r w:rsidR="000F546D" w:rsidRPr="005A21B5">
        <w:rPr>
          <w:rFonts w:ascii="Times New Roman" w:eastAsia="Calibri" w:hAnsi="Times New Roman" w:cs="Times New Roman"/>
          <w:sz w:val="24"/>
          <w:szCs w:val="24"/>
          <w:highlight w:val="yellow"/>
        </w:rPr>
        <w:t xml:space="preserve"> nelle Regioni Abruzzo, Basilicata, Calabria, Campania, Molise, Puglia, Sicilia e Sardegna, </w:t>
      </w:r>
      <w:bookmarkEnd w:id="16"/>
      <w:r w:rsidR="000F546D" w:rsidRPr="005A21B5">
        <w:rPr>
          <w:rFonts w:ascii="Times New Roman" w:eastAsia="Calibri" w:hAnsi="Times New Roman" w:cs="Times New Roman"/>
          <w:sz w:val="24"/>
          <w:szCs w:val="24"/>
          <w:highlight w:val="yellow"/>
        </w:rPr>
        <w:t>i cofinanziamenti a fondo perduto di cui all’articolo 72, comma 1, lettera d), del decreto-legge 17 marzo 2020, n. 18, convertito, con modificazioni, dalla legge 24 aprile 2020, n. 27 sono concessi fino al limite del venti per cento.</w:t>
      </w:r>
    </w:p>
    <w:p w14:paraId="3FB43606" w14:textId="77777777" w:rsidR="00C5236E" w:rsidRPr="005A21B5" w:rsidRDefault="00475278" w:rsidP="00B716CC">
      <w:pPr>
        <w:spacing w:after="0" w:line="276" w:lineRule="auto"/>
        <w:ind w:right="140"/>
        <w:jc w:val="both"/>
        <w:rPr>
          <w:rFonts w:ascii="Times New Roman" w:eastAsia="Calibri" w:hAnsi="Times New Roman" w:cs="Times New Roman"/>
          <w:sz w:val="24"/>
          <w:szCs w:val="24"/>
          <w:highlight w:val="yellow"/>
        </w:rPr>
      </w:pPr>
      <w:r w:rsidRPr="005A21B5">
        <w:rPr>
          <w:rFonts w:ascii="Times New Roman" w:eastAsia="Calibri" w:hAnsi="Times New Roman" w:cs="Times New Roman"/>
          <w:sz w:val="24"/>
          <w:szCs w:val="24"/>
          <w:highlight w:val="yellow"/>
        </w:rPr>
        <w:t>5</w:t>
      </w:r>
      <w:r w:rsidR="00511FF9" w:rsidRPr="005A21B5">
        <w:rPr>
          <w:rFonts w:ascii="Times New Roman" w:eastAsia="Calibri" w:hAnsi="Times New Roman" w:cs="Times New Roman"/>
          <w:sz w:val="24"/>
          <w:szCs w:val="24"/>
          <w:highlight w:val="yellow"/>
        </w:rPr>
        <w:t xml:space="preserve">. Al fine di sostenere iniziative e progetti promossi nell’ambito del Piano Mattei di cui all’articolo 1, del decreto-legge 15 novembre 2023, n. 161, convertito, con modificazioni, dalla legge 11 gennaio 2024, n. 2, Cassa depositi e prestiti Spa è autorizzata a concedere finanziamenti sotto qualsiasi forma, anche congiuntamente al finanziamento bancario o di altre istituzioni finanziarie, prioritariamente a favore di imprese stabilmente operative in Stati del Continente africano, per la realizzazione di interventi nei seguenti settori, in coerenza con le finalità del richiamato Piano </w:t>
      </w:r>
      <w:r w:rsidR="00511FF9" w:rsidRPr="005A21B5">
        <w:rPr>
          <w:rFonts w:ascii="Times New Roman" w:eastAsia="Calibri" w:hAnsi="Times New Roman" w:cs="Times New Roman"/>
          <w:sz w:val="24"/>
          <w:szCs w:val="24"/>
          <w:highlight w:val="yellow"/>
        </w:rPr>
        <w:lastRenderedPageBreak/>
        <w:t>Mattei: infrastrutture; tutela dell’ambiente e approvvigionamento e sfruttamento sostenibile delle risorse naturali, incluse quelle idriche ed energetiche; salute; agricoltura e sicurezza alimentare; manifatturiero.</w:t>
      </w:r>
    </w:p>
    <w:p w14:paraId="1310496D" w14:textId="13387931" w:rsidR="00540E5A" w:rsidRPr="005A21B5" w:rsidRDefault="00C31A97" w:rsidP="00B716CC">
      <w:pPr>
        <w:spacing w:after="0" w:line="276" w:lineRule="auto"/>
        <w:ind w:right="140"/>
        <w:jc w:val="both"/>
        <w:rPr>
          <w:rFonts w:ascii="Times New Roman" w:eastAsia="Calibri" w:hAnsi="Times New Roman" w:cs="Times New Roman"/>
          <w:bCs/>
          <w:sz w:val="24"/>
          <w:szCs w:val="24"/>
          <w:highlight w:val="yellow"/>
        </w:rPr>
      </w:pPr>
      <w:r w:rsidRPr="005A21B5">
        <w:rPr>
          <w:rFonts w:ascii="Times New Roman" w:eastAsia="Calibri" w:hAnsi="Times New Roman" w:cs="Times New Roman"/>
          <w:bCs/>
          <w:sz w:val="24"/>
          <w:szCs w:val="24"/>
          <w:highlight w:val="yellow"/>
        </w:rPr>
        <w:t>6</w:t>
      </w:r>
      <w:r w:rsidR="00511FF9" w:rsidRPr="005A21B5">
        <w:rPr>
          <w:rFonts w:ascii="Times New Roman" w:eastAsia="Calibri" w:hAnsi="Times New Roman" w:cs="Times New Roman"/>
          <w:bCs/>
          <w:sz w:val="24"/>
          <w:szCs w:val="24"/>
          <w:highlight w:val="yellow"/>
        </w:rPr>
        <w:t xml:space="preserve">. Ai fini dell’ammissione degli interventi di cui al comma </w:t>
      </w:r>
      <w:r w:rsidRPr="005A21B5">
        <w:rPr>
          <w:rFonts w:ascii="Times New Roman" w:eastAsia="Calibri" w:hAnsi="Times New Roman" w:cs="Times New Roman"/>
          <w:bCs/>
          <w:sz w:val="24"/>
          <w:szCs w:val="24"/>
          <w:highlight w:val="yellow"/>
        </w:rPr>
        <w:t>5</w:t>
      </w:r>
      <w:r w:rsidR="00511FF9" w:rsidRPr="005A21B5">
        <w:rPr>
          <w:rFonts w:ascii="Times New Roman" w:eastAsia="Calibri" w:hAnsi="Times New Roman" w:cs="Times New Roman"/>
          <w:bCs/>
          <w:sz w:val="24"/>
          <w:szCs w:val="24"/>
          <w:highlight w:val="yellow"/>
        </w:rPr>
        <w:t xml:space="preserve">, Cassa depositi e prestiti Spa svolge l’istruttoria di ciascun intervento. In caso di esito favorevole, Cassa depositi e prestiti Spa approva gli interventi e ne dà comunicazione, sottoponendo apposita relazione, a un Comitato tecnico, il quale, previa verifica della coerenza dell’intervento con le finalità e i settori di cui al comma </w:t>
      </w:r>
      <w:r w:rsidRPr="005A21B5">
        <w:rPr>
          <w:rFonts w:ascii="Times New Roman" w:eastAsia="Calibri" w:hAnsi="Times New Roman" w:cs="Times New Roman"/>
          <w:bCs/>
          <w:sz w:val="24"/>
          <w:szCs w:val="24"/>
          <w:highlight w:val="yellow"/>
        </w:rPr>
        <w:t>5</w:t>
      </w:r>
      <w:r w:rsidR="00511FF9" w:rsidRPr="005A21B5">
        <w:rPr>
          <w:rFonts w:ascii="Times New Roman" w:eastAsia="Calibri" w:hAnsi="Times New Roman" w:cs="Times New Roman"/>
          <w:bCs/>
          <w:sz w:val="24"/>
          <w:szCs w:val="24"/>
          <w:highlight w:val="yellow"/>
        </w:rPr>
        <w:t xml:space="preserve">, ne delibera la procedibilità. Il Comitato tecnico di cui al precedente periodo è istituito, con decreto del Presidente del Consiglio dei ministri da adottarsi entro trenta giorni dall’entrata in vigore della presente disposizione, presso la Presidenza del Consiglio dei ministri nell’ambito della Struttura di missione del Piano Mattei, senza nuovi o maggiori oneri a carico della finanza pubblica. Il Comitato tecnico è composto da </w:t>
      </w:r>
      <w:r w:rsidR="00701CD8" w:rsidRPr="005A21B5">
        <w:rPr>
          <w:rFonts w:ascii="Times New Roman" w:eastAsia="Calibri" w:hAnsi="Times New Roman" w:cs="Times New Roman"/>
          <w:bCs/>
          <w:sz w:val="24"/>
          <w:szCs w:val="24"/>
          <w:highlight w:val="yellow"/>
        </w:rPr>
        <w:t xml:space="preserve">quattro </w:t>
      </w:r>
      <w:r w:rsidR="00511FF9" w:rsidRPr="005A21B5">
        <w:rPr>
          <w:rFonts w:ascii="Times New Roman" w:eastAsia="Calibri" w:hAnsi="Times New Roman" w:cs="Times New Roman"/>
          <w:bCs/>
          <w:sz w:val="24"/>
          <w:szCs w:val="24"/>
          <w:highlight w:val="yellow"/>
        </w:rPr>
        <w:t>rappresentanti della Presidenza del Consiglio dei ministri, di cui uno con funzioni di Presidente, da un rappresentante del Ministero degli affari esteri e della cooperazione internazionale</w:t>
      </w:r>
      <w:r w:rsidR="00701CD8" w:rsidRPr="005A21B5">
        <w:rPr>
          <w:rFonts w:ascii="Times New Roman" w:eastAsia="Calibri" w:hAnsi="Times New Roman" w:cs="Times New Roman"/>
          <w:bCs/>
          <w:sz w:val="24"/>
          <w:szCs w:val="24"/>
          <w:highlight w:val="yellow"/>
        </w:rPr>
        <w:t>,</w:t>
      </w:r>
      <w:r w:rsidR="00511FF9" w:rsidRPr="005A21B5">
        <w:rPr>
          <w:rFonts w:ascii="Times New Roman" w:eastAsia="Calibri" w:hAnsi="Times New Roman" w:cs="Times New Roman"/>
          <w:bCs/>
          <w:sz w:val="24"/>
          <w:szCs w:val="24"/>
          <w:highlight w:val="yellow"/>
        </w:rPr>
        <w:t xml:space="preserve"> da un rappresentante del Ministero dell’economia e delle finanze</w:t>
      </w:r>
      <w:r w:rsidR="00701CD8" w:rsidRPr="005A21B5">
        <w:rPr>
          <w:rFonts w:ascii="Times New Roman" w:eastAsia="Calibri" w:hAnsi="Times New Roman" w:cs="Times New Roman"/>
          <w:bCs/>
          <w:sz w:val="24"/>
          <w:szCs w:val="24"/>
          <w:highlight w:val="yellow"/>
        </w:rPr>
        <w:t xml:space="preserve"> e da un rappresentan</w:t>
      </w:r>
      <w:r w:rsidR="001A4EE4" w:rsidRPr="005A21B5">
        <w:rPr>
          <w:rFonts w:ascii="Times New Roman" w:eastAsia="Calibri" w:hAnsi="Times New Roman" w:cs="Times New Roman"/>
          <w:bCs/>
          <w:sz w:val="24"/>
          <w:szCs w:val="24"/>
          <w:highlight w:val="yellow"/>
        </w:rPr>
        <w:t>te del Ministero dell’ambiente e della sicurezza energetica</w:t>
      </w:r>
      <w:r w:rsidR="00511FF9" w:rsidRPr="005A21B5">
        <w:rPr>
          <w:rFonts w:ascii="Times New Roman" w:eastAsia="Calibri" w:hAnsi="Times New Roman" w:cs="Times New Roman"/>
          <w:bCs/>
          <w:sz w:val="24"/>
          <w:szCs w:val="24"/>
          <w:highlight w:val="yellow"/>
        </w:rPr>
        <w:t>. Ai componenti del Comitato tecnico non spettano compensi, gettoni di presenza, rimborsi di spese o altri emolumenti comunque denominati.</w:t>
      </w:r>
    </w:p>
    <w:p w14:paraId="542EEF2C" w14:textId="19E576EE" w:rsidR="00AF680C" w:rsidRPr="005A21B5" w:rsidRDefault="00F94357" w:rsidP="00B716CC">
      <w:pPr>
        <w:spacing w:after="0" w:line="276" w:lineRule="auto"/>
        <w:ind w:right="140"/>
        <w:jc w:val="both"/>
        <w:rPr>
          <w:rFonts w:ascii="Times New Roman" w:eastAsia="Calibri" w:hAnsi="Times New Roman" w:cs="Times New Roman"/>
          <w:bCs/>
          <w:sz w:val="24"/>
          <w:szCs w:val="24"/>
          <w:highlight w:val="yellow"/>
        </w:rPr>
      </w:pPr>
      <w:r w:rsidRPr="005A21B5">
        <w:rPr>
          <w:rFonts w:ascii="Times New Roman" w:eastAsia="Calibri" w:hAnsi="Times New Roman" w:cs="Times New Roman"/>
          <w:bCs/>
          <w:sz w:val="24"/>
          <w:szCs w:val="24"/>
          <w:highlight w:val="yellow"/>
        </w:rPr>
        <w:t>7</w:t>
      </w:r>
      <w:r w:rsidR="00511FF9" w:rsidRPr="005A21B5">
        <w:rPr>
          <w:rFonts w:ascii="Times New Roman" w:eastAsia="Calibri" w:hAnsi="Times New Roman" w:cs="Times New Roman"/>
          <w:bCs/>
          <w:sz w:val="24"/>
          <w:szCs w:val="24"/>
          <w:highlight w:val="yellow"/>
        </w:rPr>
        <w:t xml:space="preserve">. Acquisita la favorevole delibera del Comitato tecnico di cui al comma </w:t>
      </w:r>
      <w:r w:rsidRPr="005A21B5">
        <w:rPr>
          <w:rFonts w:ascii="Times New Roman" w:eastAsia="Calibri" w:hAnsi="Times New Roman" w:cs="Times New Roman"/>
          <w:bCs/>
          <w:sz w:val="24"/>
          <w:szCs w:val="24"/>
          <w:highlight w:val="yellow"/>
        </w:rPr>
        <w:t>6</w:t>
      </w:r>
      <w:r w:rsidR="00511FF9" w:rsidRPr="005A21B5">
        <w:rPr>
          <w:rFonts w:ascii="Times New Roman" w:eastAsia="Calibri" w:hAnsi="Times New Roman" w:cs="Times New Roman"/>
          <w:bCs/>
          <w:sz w:val="24"/>
          <w:szCs w:val="24"/>
          <w:highlight w:val="yellow"/>
        </w:rPr>
        <w:t xml:space="preserve">, la Cassa depositi e prestiti Spa può sottoscrivere la documentazione contrattuale degli interventi di cui al comma </w:t>
      </w:r>
      <w:r w:rsidRPr="005A21B5">
        <w:rPr>
          <w:rFonts w:ascii="Times New Roman" w:eastAsia="Calibri" w:hAnsi="Times New Roman" w:cs="Times New Roman"/>
          <w:bCs/>
          <w:sz w:val="24"/>
          <w:szCs w:val="24"/>
          <w:highlight w:val="yellow"/>
        </w:rPr>
        <w:t>5</w:t>
      </w:r>
      <w:r w:rsidR="00511FF9" w:rsidRPr="005A21B5">
        <w:rPr>
          <w:rFonts w:ascii="Times New Roman" w:eastAsia="Calibri" w:hAnsi="Times New Roman" w:cs="Times New Roman"/>
          <w:bCs/>
          <w:sz w:val="24"/>
          <w:szCs w:val="24"/>
          <w:highlight w:val="yellow"/>
        </w:rPr>
        <w:t xml:space="preserve"> con il soggetto beneficiario degli stessi.</w:t>
      </w:r>
    </w:p>
    <w:p w14:paraId="44883179" w14:textId="77777777" w:rsidR="00F94357" w:rsidRPr="005A21B5" w:rsidRDefault="00F94357" w:rsidP="00B716CC">
      <w:pPr>
        <w:spacing w:after="0" w:line="276" w:lineRule="auto"/>
        <w:ind w:right="140"/>
        <w:jc w:val="both"/>
        <w:rPr>
          <w:rFonts w:ascii="Times New Roman" w:eastAsia="Calibri" w:hAnsi="Times New Roman" w:cs="Times New Roman"/>
          <w:bCs/>
          <w:sz w:val="24"/>
          <w:szCs w:val="24"/>
          <w:highlight w:val="yellow"/>
        </w:rPr>
      </w:pPr>
      <w:r w:rsidRPr="005A21B5">
        <w:rPr>
          <w:rFonts w:ascii="Times New Roman" w:eastAsia="Calibri" w:hAnsi="Times New Roman" w:cs="Times New Roman"/>
          <w:bCs/>
          <w:sz w:val="24"/>
          <w:szCs w:val="24"/>
          <w:highlight w:val="yellow"/>
        </w:rPr>
        <w:t>8</w:t>
      </w:r>
      <w:r w:rsidR="00511FF9" w:rsidRPr="005A21B5">
        <w:rPr>
          <w:rFonts w:ascii="Times New Roman" w:eastAsia="Calibri" w:hAnsi="Times New Roman" w:cs="Times New Roman"/>
          <w:bCs/>
          <w:sz w:val="24"/>
          <w:szCs w:val="24"/>
          <w:highlight w:val="yellow"/>
        </w:rPr>
        <w:t xml:space="preserve">. La Cassa depositi e prestiti Spa comunica al Comitato tecnico di cui al comma </w:t>
      </w:r>
      <w:r w:rsidRPr="005A21B5">
        <w:rPr>
          <w:rFonts w:ascii="Times New Roman" w:eastAsia="Calibri" w:hAnsi="Times New Roman" w:cs="Times New Roman"/>
          <w:bCs/>
          <w:sz w:val="24"/>
          <w:szCs w:val="24"/>
          <w:highlight w:val="yellow"/>
        </w:rPr>
        <w:t>6</w:t>
      </w:r>
      <w:r w:rsidR="00511FF9" w:rsidRPr="005A21B5">
        <w:rPr>
          <w:rFonts w:ascii="Times New Roman" w:eastAsia="Calibri" w:hAnsi="Times New Roman" w:cs="Times New Roman"/>
          <w:bCs/>
          <w:sz w:val="24"/>
          <w:szCs w:val="24"/>
          <w:highlight w:val="yellow"/>
        </w:rPr>
        <w:t xml:space="preserve"> e al Ministero dell’economia e delle finanze, entro trenta giorni, l’effettuazione e gli importi delle erogazioni effettuate in relazione a ciascun intervento. La Cassa depositi e prestiti Spa presenta altresì ai soggetti di cui al precedente periodo, entro il 30 aprile di ciascun anno, una relazione sull’andamento di ciascun intervento ammesso alla garanzia dello Stato ai sensi della presente disposizione, relativo all’esercizio precedente.</w:t>
      </w:r>
    </w:p>
    <w:p w14:paraId="07D9FA48" w14:textId="77777777" w:rsidR="001E1728" w:rsidRPr="005A21B5" w:rsidRDefault="0013044A" w:rsidP="00B716CC">
      <w:pPr>
        <w:spacing w:after="0" w:line="276" w:lineRule="auto"/>
        <w:ind w:right="140"/>
        <w:jc w:val="both"/>
        <w:rPr>
          <w:rFonts w:ascii="Times New Roman" w:eastAsia="Calibri" w:hAnsi="Times New Roman" w:cs="Times New Roman"/>
          <w:bCs/>
          <w:sz w:val="24"/>
          <w:szCs w:val="24"/>
          <w:highlight w:val="yellow"/>
        </w:rPr>
      </w:pPr>
      <w:r w:rsidRPr="005A21B5">
        <w:rPr>
          <w:rFonts w:ascii="Times New Roman" w:eastAsia="Calibri" w:hAnsi="Times New Roman" w:cs="Times New Roman"/>
          <w:bCs/>
          <w:sz w:val="24"/>
          <w:szCs w:val="24"/>
          <w:highlight w:val="yellow"/>
        </w:rPr>
        <w:t>9</w:t>
      </w:r>
      <w:r w:rsidR="00511FF9" w:rsidRPr="005A21B5">
        <w:rPr>
          <w:rFonts w:ascii="Times New Roman" w:eastAsia="Calibri" w:hAnsi="Times New Roman" w:cs="Times New Roman"/>
          <w:bCs/>
          <w:sz w:val="24"/>
          <w:szCs w:val="24"/>
          <w:highlight w:val="yellow"/>
        </w:rPr>
        <w:t xml:space="preserve">. Per l’attuazione delle disposizioni di cui al comma </w:t>
      </w:r>
      <w:r w:rsidR="00F94357" w:rsidRPr="005A21B5">
        <w:rPr>
          <w:rFonts w:ascii="Times New Roman" w:eastAsia="Calibri" w:hAnsi="Times New Roman" w:cs="Times New Roman"/>
          <w:bCs/>
          <w:sz w:val="24"/>
          <w:szCs w:val="24"/>
          <w:highlight w:val="yellow"/>
        </w:rPr>
        <w:t>5</w:t>
      </w:r>
      <w:r w:rsidR="00511FF9" w:rsidRPr="005A21B5">
        <w:rPr>
          <w:rFonts w:ascii="Times New Roman" w:eastAsia="Calibri" w:hAnsi="Times New Roman" w:cs="Times New Roman"/>
          <w:bCs/>
          <w:sz w:val="24"/>
          <w:szCs w:val="24"/>
          <w:highlight w:val="yellow"/>
        </w:rPr>
        <w:t xml:space="preserve">, il Fondo di cui all’articolo 8 della legge 11 agosto 2014, n. 125 è incrementato di 404,5 milioni di euro. Ai relativi oneri, pari a 404,5 milioni di </w:t>
      </w:r>
      <w:r w:rsidR="00540E5A" w:rsidRPr="005A21B5">
        <w:rPr>
          <w:rFonts w:ascii="Times New Roman" w:eastAsia="Calibri" w:hAnsi="Times New Roman" w:cs="Times New Roman"/>
          <w:bCs/>
          <w:sz w:val="24"/>
          <w:szCs w:val="24"/>
          <w:highlight w:val="yellow"/>
        </w:rPr>
        <w:t>euro</w:t>
      </w:r>
      <w:r w:rsidR="00511FF9" w:rsidRPr="005A21B5">
        <w:rPr>
          <w:rFonts w:ascii="Times New Roman" w:eastAsia="Calibri" w:hAnsi="Times New Roman" w:cs="Times New Roman"/>
          <w:bCs/>
          <w:sz w:val="24"/>
          <w:szCs w:val="24"/>
          <w:highlight w:val="yellow"/>
        </w:rPr>
        <w:t>, si provvede mediante utilizzo delle risorse destinate ad alimentare il fondo di cui all’articolo 1, comma 343, della legge 23 dicembre 2005, n. 266. Per le finalità di cui al secondo periodo sono versate all’entrata del bilancio dello Stato per essere successivamente riassegnate al Fondo di cui all’articolo 8 della predetta legge n.125 del 2014, ai sensi dell’articolo 7-quinquies, comma 7 del decreto-legge 10 febbraio 2009, n.5, convertito, con modificazioni, dalla legge 9 aprile 2009, n. 33.</w:t>
      </w:r>
    </w:p>
    <w:p w14:paraId="210E7392" w14:textId="683AFBB3" w:rsidR="00AF680C" w:rsidRPr="005A21B5" w:rsidRDefault="0013044A" w:rsidP="00B716CC">
      <w:pPr>
        <w:spacing w:after="0" w:line="276" w:lineRule="auto"/>
        <w:ind w:right="140"/>
        <w:jc w:val="both"/>
        <w:rPr>
          <w:rFonts w:ascii="Times New Roman" w:eastAsia="Calibri" w:hAnsi="Times New Roman" w:cs="Times New Roman"/>
          <w:bCs/>
          <w:sz w:val="24"/>
          <w:szCs w:val="24"/>
          <w:highlight w:val="yellow"/>
        </w:rPr>
      </w:pPr>
      <w:r w:rsidRPr="005A21B5">
        <w:rPr>
          <w:rFonts w:ascii="Times New Roman" w:eastAsia="Calibri" w:hAnsi="Times New Roman" w:cs="Times New Roman"/>
          <w:bCs/>
          <w:sz w:val="24"/>
          <w:szCs w:val="24"/>
          <w:highlight w:val="yellow"/>
        </w:rPr>
        <w:t>10</w:t>
      </w:r>
      <w:r w:rsidR="00511FF9" w:rsidRPr="005A21B5">
        <w:rPr>
          <w:rFonts w:ascii="Times New Roman" w:eastAsia="Calibri" w:hAnsi="Times New Roman" w:cs="Times New Roman"/>
          <w:bCs/>
          <w:sz w:val="24"/>
          <w:szCs w:val="24"/>
          <w:highlight w:val="yellow"/>
        </w:rPr>
        <w:t xml:space="preserve">. Con decreto del Presidente del Consiglio dei Ministri, di concerto con il Ministro degli affari esteri e della cooperazione internazionale, sono determinati orientamento strategico e priorità di investimento delle risorse del Fondo italiano per il clima, di cui all’articolo 1, commi 488 e seguenti della legge 30 dicembre 2021 n. 234, da destinare, anche in parte, a supporto delle finalità e degli obiettivi del Piano Mattei di cui all’articolo 1, del decreto-legge 15 novembre 2023, n. 161, convertito, con modificazioni, dalla legge 11 gennaio 2024, n. 2. In tal caso, le funzioni del Comitato di indirizzo e del Comitato direttivo di cui al comma 496 del citato articolo 1 della legge n. 234 del 2021 sono svolte dal Comitato tecnico di cui al comma </w:t>
      </w:r>
      <w:r w:rsidRPr="005A21B5">
        <w:rPr>
          <w:rFonts w:ascii="Times New Roman" w:eastAsia="Calibri" w:hAnsi="Times New Roman" w:cs="Times New Roman"/>
          <w:bCs/>
          <w:sz w:val="24"/>
          <w:szCs w:val="24"/>
          <w:highlight w:val="yellow"/>
        </w:rPr>
        <w:t>6</w:t>
      </w:r>
      <w:r w:rsidR="00511FF9" w:rsidRPr="005A21B5">
        <w:rPr>
          <w:rFonts w:ascii="Times New Roman" w:eastAsia="Calibri" w:hAnsi="Times New Roman" w:cs="Times New Roman"/>
          <w:bCs/>
          <w:sz w:val="24"/>
          <w:szCs w:val="24"/>
          <w:highlight w:val="yellow"/>
        </w:rPr>
        <w:t>, e, per l’attuazione delle misure di cui al comma 2, possono essere utilizzati anche gli interventi di cui al comma 489, lett. c) del citato art. 1 della legge n. 234 del 2021.</w:t>
      </w:r>
    </w:p>
    <w:p w14:paraId="3E88F639" w14:textId="71240693" w:rsidR="00511FF9" w:rsidRPr="005A21B5" w:rsidRDefault="0013044A" w:rsidP="00B716CC">
      <w:pPr>
        <w:spacing w:after="0" w:line="276" w:lineRule="auto"/>
        <w:ind w:right="140"/>
        <w:jc w:val="both"/>
        <w:rPr>
          <w:rFonts w:ascii="Times New Roman" w:eastAsia="Calibri" w:hAnsi="Times New Roman" w:cs="Times New Roman"/>
          <w:bCs/>
          <w:sz w:val="24"/>
          <w:szCs w:val="24"/>
          <w:highlight w:val="yellow"/>
        </w:rPr>
      </w:pPr>
      <w:r w:rsidRPr="005A21B5">
        <w:rPr>
          <w:rFonts w:ascii="Times New Roman" w:eastAsia="Calibri" w:hAnsi="Times New Roman" w:cs="Times New Roman"/>
          <w:bCs/>
          <w:sz w:val="24"/>
          <w:szCs w:val="24"/>
          <w:highlight w:val="yellow"/>
        </w:rPr>
        <w:t>11</w:t>
      </w:r>
      <w:r w:rsidR="00511FF9" w:rsidRPr="005A21B5">
        <w:rPr>
          <w:rFonts w:ascii="Times New Roman" w:eastAsia="Calibri" w:hAnsi="Times New Roman" w:cs="Times New Roman"/>
          <w:bCs/>
          <w:sz w:val="24"/>
          <w:szCs w:val="24"/>
          <w:highlight w:val="yellow"/>
        </w:rPr>
        <w:t>. All’articolo 1 della legge 23 dicembre 2005, n. 266, i commi da 343 a 345-decies e i commi 345-terdecies e 345-quaterdecies sono abrogati.</w:t>
      </w:r>
    </w:p>
    <w:p w14:paraId="7ADE3904" w14:textId="68F42E63" w:rsidR="004C712A" w:rsidRPr="00AC468E" w:rsidRDefault="00DC6F6A" w:rsidP="00B716CC">
      <w:pPr>
        <w:spacing w:after="0" w:line="276" w:lineRule="auto"/>
        <w:ind w:right="140"/>
        <w:jc w:val="both"/>
        <w:rPr>
          <w:rFonts w:ascii="Times New Roman" w:eastAsia="Calibri" w:hAnsi="Times New Roman" w:cs="Times New Roman"/>
          <w:bCs/>
          <w:sz w:val="24"/>
          <w:szCs w:val="24"/>
        </w:rPr>
      </w:pPr>
      <w:r w:rsidRPr="005A21B5">
        <w:rPr>
          <w:rFonts w:ascii="Times New Roman" w:eastAsia="Calibri" w:hAnsi="Times New Roman" w:cs="Times New Roman"/>
          <w:bCs/>
          <w:sz w:val="24"/>
          <w:szCs w:val="24"/>
          <w:highlight w:val="yellow"/>
        </w:rPr>
        <w:lastRenderedPageBreak/>
        <w:t>12</w:t>
      </w:r>
      <w:r w:rsidR="004C712A" w:rsidRPr="005A21B5">
        <w:rPr>
          <w:rFonts w:ascii="Times New Roman" w:eastAsia="Calibri" w:hAnsi="Times New Roman" w:cs="Times New Roman"/>
          <w:bCs/>
          <w:sz w:val="24"/>
          <w:szCs w:val="24"/>
          <w:highlight w:val="yellow"/>
        </w:rPr>
        <w:t>. La dotazione del fondo rotativo per operazioni di venture capital di cui all’articolo 1, comma 932, della legge 27 dicembre 2006, n. 296, è incrementata di euro 150 milioni per l’anno 2024. Ai relativi oneri si provvede mediante corrispondente riduzione dell’autorizzazione di spesa, per l’anno 2024, di cui all’articolo 1, comma 49, lettera a), della legge 30 dicembre 2021, n. 234.</w:t>
      </w:r>
    </w:p>
    <w:p w14:paraId="3927AB7C" w14:textId="77777777" w:rsidR="00A1587B" w:rsidRPr="007B5BC4" w:rsidRDefault="00A1587B" w:rsidP="00B716CC">
      <w:pPr>
        <w:spacing w:line="276" w:lineRule="auto"/>
        <w:jc w:val="both"/>
        <w:rPr>
          <w:rFonts w:ascii="Times New Roman" w:hAnsi="Times New Roman" w:cs="Times New Roman"/>
          <w:b/>
          <w:sz w:val="24"/>
          <w:szCs w:val="24"/>
        </w:rPr>
      </w:pPr>
    </w:p>
    <w:p w14:paraId="57D5ACCF" w14:textId="77777777" w:rsidR="00756C0E" w:rsidRPr="007B5BC4" w:rsidRDefault="00756C0E" w:rsidP="001B57B0">
      <w:pPr>
        <w:spacing w:line="276" w:lineRule="auto"/>
        <w:jc w:val="center"/>
        <w:rPr>
          <w:rFonts w:ascii="Times New Roman" w:hAnsi="Times New Roman" w:cs="Times New Roman"/>
          <w:b/>
          <w:sz w:val="24"/>
          <w:szCs w:val="24"/>
        </w:rPr>
      </w:pPr>
    </w:p>
    <w:p w14:paraId="24094A9B" w14:textId="257DA069" w:rsidR="00A1587B" w:rsidRPr="007B5BC4" w:rsidRDefault="00A1587B" w:rsidP="001B57B0">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 xml:space="preserve">ART. </w:t>
      </w:r>
      <w:r w:rsidR="004D03CE" w:rsidRPr="007B5BC4">
        <w:rPr>
          <w:rFonts w:ascii="Times New Roman" w:eastAsia="Calibri" w:hAnsi="Times New Roman" w:cs="Times New Roman"/>
          <w:b/>
          <w:bCs/>
          <w:kern w:val="0"/>
          <w:sz w:val="24"/>
          <w:szCs w:val="24"/>
          <w14:ligatures w14:val="standardContextual"/>
        </w:rPr>
        <w:t>1</w:t>
      </w:r>
      <w:r w:rsidR="00163E00" w:rsidRPr="007B5BC4">
        <w:rPr>
          <w:rFonts w:ascii="Times New Roman" w:eastAsia="Calibri" w:hAnsi="Times New Roman" w:cs="Times New Roman"/>
          <w:b/>
          <w:bCs/>
          <w:kern w:val="0"/>
          <w:sz w:val="24"/>
          <w:szCs w:val="24"/>
          <w14:ligatures w14:val="standardContextual"/>
        </w:rPr>
        <w:t>1</w:t>
      </w:r>
    </w:p>
    <w:p w14:paraId="137FE584" w14:textId="29DEC37F" w:rsidR="00A1587B" w:rsidRPr="007B5BC4" w:rsidRDefault="00A1587B" w:rsidP="001B57B0">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B5BC4">
        <w:rPr>
          <w:rFonts w:ascii="Times New Roman" w:eastAsia="Calibri" w:hAnsi="Times New Roman" w:cs="Times New Roman"/>
          <w:b/>
          <w:bCs/>
          <w:i/>
          <w:iCs/>
          <w:kern w:val="0"/>
          <w:sz w:val="24"/>
          <w:szCs w:val="24"/>
          <w14:ligatures w14:val="standardContextual"/>
        </w:rPr>
        <w:t>(</w:t>
      </w:r>
      <w:r w:rsidR="00BC3BEC" w:rsidRPr="007B5BC4">
        <w:rPr>
          <w:rFonts w:ascii="Times New Roman" w:eastAsia="Calibri" w:hAnsi="Times New Roman" w:cs="Times New Roman"/>
          <w:b/>
          <w:bCs/>
          <w:i/>
          <w:iCs/>
          <w:kern w:val="0"/>
          <w:sz w:val="24"/>
          <w:szCs w:val="24"/>
          <w14:ligatures w14:val="standardContextual"/>
        </w:rPr>
        <w:t>Disposizioni in materia di società di rilievo strategico</w:t>
      </w:r>
      <w:r w:rsidRPr="007B5BC4">
        <w:rPr>
          <w:rFonts w:ascii="Times New Roman" w:eastAsia="Calibri" w:hAnsi="Times New Roman" w:cs="Times New Roman"/>
          <w:b/>
          <w:bCs/>
          <w:i/>
          <w:iCs/>
          <w:kern w:val="0"/>
          <w:sz w:val="24"/>
          <w:szCs w:val="24"/>
          <w14:ligatures w14:val="standardContextual"/>
        </w:rPr>
        <w:t>)</w:t>
      </w:r>
    </w:p>
    <w:p w14:paraId="3A7D8F3B" w14:textId="58C9B9F5" w:rsidR="00A1587B" w:rsidRPr="007B5BC4" w:rsidRDefault="00D87925" w:rsidP="00B716CC">
      <w:pPr>
        <w:spacing w:line="276" w:lineRule="auto"/>
        <w:jc w:val="both"/>
        <w:rPr>
          <w:rFonts w:ascii="Times New Roman" w:hAnsi="Times New Roman" w:cs="Times New Roman"/>
          <w:sz w:val="24"/>
          <w:szCs w:val="24"/>
        </w:rPr>
      </w:pPr>
      <w:r w:rsidRPr="007B5BC4">
        <w:rPr>
          <w:rFonts w:ascii="Times New Roman" w:hAnsi="Times New Roman" w:cs="Times New Roman"/>
          <w:sz w:val="24"/>
          <w:szCs w:val="24"/>
        </w:rPr>
        <w:t xml:space="preserve">1. </w:t>
      </w:r>
      <w:r w:rsidR="00A1587B" w:rsidRPr="007B5BC4">
        <w:rPr>
          <w:rFonts w:ascii="Times New Roman" w:hAnsi="Times New Roman" w:cs="Times New Roman"/>
          <w:sz w:val="24"/>
          <w:szCs w:val="24"/>
        </w:rPr>
        <w:t xml:space="preserve">All’articolo 13-bis, del </w:t>
      </w:r>
      <w:r w:rsidR="00F81BE0" w:rsidRPr="007B5BC4">
        <w:rPr>
          <w:rFonts w:ascii="Times New Roman" w:hAnsi="Times New Roman" w:cs="Times New Roman"/>
          <w:sz w:val="24"/>
          <w:szCs w:val="24"/>
        </w:rPr>
        <w:t>decreto-legge</w:t>
      </w:r>
      <w:r w:rsidR="00A1587B" w:rsidRPr="007B5BC4">
        <w:rPr>
          <w:rFonts w:ascii="Times New Roman" w:hAnsi="Times New Roman" w:cs="Times New Roman"/>
          <w:sz w:val="24"/>
          <w:szCs w:val="24"/>
        </w:rPr>
        <w:t xml:space="preserve"> 10 agosto 2023 n. 104, convertito con modificazioni in legge 9 ottobre, n. 136</w:t>
      </w:r>
      <w:r w:rsidRPr="007B5BC4">
        <w:rPr>
          <w:rFonts w:ascii="Times New Roman" w:hAnsi="Times New Roman" w:cs="Times New Roman"/>
          <w:sz w:val="24"/>
          <w:szCs w:val="24"/>
        </w:rPr>
        <w:t>, sono apportate le seguenti modificazioni</w:t>
      </w:r>
      <w:r w:rsidR="00A1587B" w:rsidRPr="007B5BC4">
        <w:rPr>
          <w:rFonts w:ascii="Times New Roman" w:hAnsi="Times New Roman" w:cs="Times New Roman"/>
          <w:sz w:val="24"/>
          <w:szCs w:val="24"/>
        </w:rPr>
        <w:t>:</w:t>
      </w:r>
    </w:p>
    <w:p w14:paraId="7DECAED6" w14:textId="0046A93D" w:rsidR="00A1587B" w:rsidRPr="007B5BC4" w:rsidRDefault="00D87925" w:rsidP="00B716CC">
      <w:pPr>
        <w:spacing w:line="276" w:lineRule="auto"/>
        <w:ind w:firstLine="708"/>
        <w:jc w:val="both"/>
        <w:rPr>
          <w:rFonts w:ascii="Times New Roman" w:hAnsi="Times New Roman" w:cs="Times New Roman"/>
          <w:sz w:val="24"/>
          <w:szCs w:val="24"/>
        </w:rPr>
      </w:pPr>
      <w:r w:rsidRPr="007B5BC4">
        <w:rPr>
          <w:rFonts w:ascii="Times New Roman" w:hAnsi="Times New Roman" w:cs="Times New Roman"/>
          <w:sz w:val="24"/>
          <w:szCs w:val="24"/>
        </w:rPr>
        <w:t xml:space="preserve">a) </w:t>
      </w:r>
      <w:r w:rsidR="00A1587B" w:rsidRPr="007B5BC4">
        <w:rPr>
          <w:rFonts w:ascii="Times New Roman" w:hAnsi="Times New Roman" w:cs="Times New Roman"/>
          <w:sz w:val="24"/>
          <w:szCs w:val="24"/>
        </w:rPr>
        <w:t>al comma 1, le parole “per l’anno 2023” sono sostituite dalle seguenti</w:t>
      </w:r>
      <w:r w:rsidR="006B16EB" w:rsidRPr="007B5BC4">
        <w:rPr>
          <w:rFonts w:ascii="Times New Roman" w:hAnsi="Times New Roman" w:cs="Times New Roman"/>
          <w:sz w:val="24"/>
          <w:szCs w:val="24"/>
        </w:rPr>
        <w:t>:</w:t>
      </w:r>
      <w:r w:rsidR="00A1587B" w:rsidRPr="007B5BC4">
        <w:rPr>
          <w:rFonts w:ascii="Times New Roman" w:hAnsi="Times New Roman" w:cs="Times New Roman"/>
          <w:sz w:val="24"/>
          <w:szCs w:val="24"/>
        </w:rPr>
        <w:t xml:space="preserve"> “per l’anno 2024”;</w:t>
      </w:r>
    </w:p>
    <w:p w14:paraId="7BFC30DD" w14:textId="7A68BBAD" w:rsidR="00A1587B" w:rsidRPr="007B5BC4" w:rsidRDefault="006B16EB" w:rsidP="00B716CC">
      <w:pPr>
        <w:spacing w:line="276" w:lineRule="auto"/>
        <w:ind w:firstLine="708"/>
        <w:jc w:val="both"/>
        <w:rPr>
          <w:rFonts w:ascii="Times New Roman" w:hAnsi="Times New Roman" w:cs="Times New Roman"/>
          <w:sz w:val="24"/>
          <w:szCs w:val="24"/>
        </w:rPr>
      </w:pPr>
      <w:r w:rsidRPr="007B5BC4">
        <w:rPr>
          <w:rFonts w:ascii="Times New Roman" w:hAnsi="Times New Roman" w:cs="Times New Roman"/>
          <w:sz w:val="24"/>
          <w:szCs w:val="24"/>
        </w:rPr>
        <w:t xml:space="preserve">b) </w:t>
      </w:r>
      <w:r w:rsidR="00BA4344" w:rsidRPr="007B5BC4">
        <w:rPr>
          <w:rFonts w:ascii="Times New Roman" w:hAnsi="Times New Roman" w:cs="Times New Roman"/>
          <w:sz w:val="24"/>
          <w:szCs w:val="24"/>
        </w:rPr>
        <w:t xml:space="preserve">dopo il comma 1, è aggiunto </w:t>
      </w:r>
      <w:r w:rsidR="00A1587B" w:rsidRPr="007B5BC4">
        <w:rPr>
          <w:rFonts w:ascii="Times New Roman" w:hAnsi="Times New Roman" w:cs="Times New Roman"/>
          <w:sz w:val="24"/>
          <w:szCs w:val="24"/>
        </w:rPr>
        <w:t>il seguente</w:t>
      </w:r>
      <w:r w:rsidR="00BA4344" w:rsidRPr="007B5BC4">
        <w:rPr>
          <w:rFonts w:ascii="Times New Roman" w:hAnsi="Times New Roman" w:cs="Times New Roman"/>
          <w:sz w:val="24"/>
          <w:szCs w:val="24"/>
        </w:rPr>
        <w:t>:</w:t>
      </w:r>
      <w:r w:rsidR="00A1587B" w:rsidRPr="007B5BC4">
        <w:rPr>
          <w:rFonts w:ascii="Times New Roman" w:hAnsi="Times New Roman" w:cs="Times New Roman"/>
          <w:sz w:val="24"/>
          <w:szCs w:val="24"/>
        </w:rPr>
        <w:t xml:space="preserve"> “</w:t>
      </w:r>
      <w:r w:rsidR="00BA4344" w:rsidRPr="007B5BC4">
        <w:rPr>
          <w:rFonts w:ascii="Times New Roman" w:hAnsi="Times New Roman" w:cs="Times New Roman"/>
          <w:sz w:val="24"/>
          <w:szCs w:val="24"/>
        </w:rPr>
        <w:t>1-bis</w:t>
      </w:r>
      <w:r w:rsidR="00A1587B" w:rsidRPr="007B5BC4">
        <w:rPr>
          <w:rFonts w:ascii="Times New Roman" w:hAnsi="Times New Roman" w:cs="Times New Roman"/>
          <w:sz w:val="24"/>
          <w:szCs w:val="24"/>
        </w:rPr>
        <w:t xml:space="preserve">. Alle </w:t>
      </w:r>
      <w:r w:rsidR="00BA4344" w:rsidRPr="007B5BC4">
        <w:rPr>
          <w:rFonts w:ascii="Times New Roman" w:hAnsi="Times New Roman" w:cs="Times New Roman"/>
          <w:sz w:val="24"/>
          <w:szCs w:val="24"/>
        </w:rPr>
        <w:t>s</w:t>
      </w:r>
      <w:r w:rsidR="00A1587B" w:rsidRPr="007B5BC4">
        <w:rPr>
          <w:rFonts w:ascii="Times New Roman" w:hAnsi="Times New Roman" w:cs="Times New Roman"/>
          <w:sz w:val="24"/>
          <w:szCs w:val="24"/>
        </w:rPr>
        <w:t>ocietà di rilievo strategico che operano sul mercato</w:t>
      </w:r>
      <w:r w:rsidR="00BA4344" w:rsidRPr="007B5BC4">
        <w:rPr>
          <w:rFonts w:ascii="Times New Roman" w:hAnsi="Times New Roman" w:cs="Times New Roman"/>
          <w:sz w:val="24"/>
          <w:szCs w:val="24"/>
        </w:rPr>
        <w:t>,</w:t>
      </w:r>
      <w:r w:rsidR="00A1587B" w:rsidRPr="007B5BC4">
        <w:rPr>
          <w:rFonts w:ascii="Times New Roman" w:hAnsi="Times New Roman" w:cs="Times New Roman"/>
          <w:sz w:val="24"/>
          <w:szCs w:val="24"/>
        </w:rPr>
        <w:t xml:space="preserve"> acquisite ai sensi del comma 1 da parte del Ministero dell’economia e delle finanze</w:t>
      </w:r>
      <w:r w:rsidR="00BA4344" w:rsidRPr="007B5BC4">
        <w:rPr>
          <w:rFonts w:ascii="Times New Roman" w:hAnsi="Times New Roman" w:cs="Times New Roman"/>
          <w:sz w:val="24"/>
          <w:szCs w:val="24"/>
        </w:rPr>
        <w:t>,</w:t>
      </w:r>
      <w:r w:rsidR="00A1587B" w:rsidRPr="007B5BC4">
        <w:rPr>
          <w:rFonts w:ascii="Times New Roman" w:hAnsi="Times New Roman" w:cs="Times New Roman"/>
          <w:sz w:val="24"/>
          <w:szCs w:val="24"/>
        </w:rPr>
        <w:t xml:space="preserve"> non si applicano le disposizioni previste dal </w:t>
      </w:r>
      <w:hyperlink r:id="rId9" w:tgtFrame="_blank" w:history="1">
        <w:r w:rsidR="00A1587B" w:rsidRPr="007B5BC4">
          <w:rPr>
            <w:rFonts w:ascii="Times New Roman" w:hAnsi="Times New Roman" w:cs="Times New Roman"/>
            <w:sz w:val="24"/>
            <w:szCs w:val="24"/>
          </w:rPr>
          <w:t>decreto legislativo 19 agosto 2016, n. 175 e dall'articolo 23-bis</w:t>
        </w:r>
      </w:hyperlink>
      <w:r w:rsidR="00A1587B" w:rsidRPr="007B5BC4">
        <w:rPr>
          <w:rFonts w:ascii="Times New Roman" w:hAnsi="Times New Roman" w:cs="Times New Roman"/>
          <w:sz w:val="24"/>
          <w:szCs w:val="24"/>
        </w:rPr>
        <w:t> del </w:t>
      </w:r>
      <w:hyperlink r:id="rId10" w:tgtFrame="_blank" w:history="1">
        <w:r w:rsidR="00A1587B" w:rsidRPr="007B5BC4">
          <w:rPr>
            <w:rFonts w:ascii="Times New Roman" w:hAnsi="Times New Roman" w:cs="Times New Roman"/>
            <w:sz w:val="24"/>
            <w:szCs w:val="24"/>
          </w:rPr>
          <w:t>decreto legge 6 dicembre 2011, n. 201</w:t>
        </w:r>
      </w:hyperlink>
      <w:r w:rsidR="00A1587B" w:rsidRPr="007B5BC4">
        <w:rPr>
          <w:rFonts w:ascii="Times New Roman" w:hAnsi="Times New Roman" w:cs="Times New Roman"/>
          <w:sz w:val="24"/>
          <w:szCs w:val="24"/>
        </w:rPr>
        <w:t>, convertito, con modificazioni, dalla </w:t>
      </w:r>
      <w:hyperlink r:id="rId11" w:tgtFrame="_blank" w:history="1">
        <w:r w:rsidR="00A1587B" w:rsidRPr="007B5BC4">
          <w:rPr>
            <w:rFonts w:ascii="Times New Roman" w:hAnsi="Times New Roman" w:cs="Times New Roman"/>
            <w:sz w:val="24"/>
            <w:szCs w:val="24"/>
          </w:rPr>
          <w:t>legge 22 dicembre 2011, n. 214</w:t>
        </w:r>
      </w:hyperlink>
      <w:r w:rsidR="00A1587B" w:rsidRPr="007B5BC4">
        <w:rPr>
          <w:rFonts w:ascii="Times New Roman" w:hAnsi="Times New Roman" w:cs="Times New Roman"/>
          <w:sz w:val="24"/>
          <w:szCs w:val="24"/>
        </w:rPr>
        <w:t>.”.</w:t>
      </w:r>
    </w:p>
    <w:p w14:paraId="07CA00F4" w14:textId="77777777" w:rsidR="00756C0E" w:rsidRPr="007B5BC4" w:rsidRDefault="00756C0E" w:rsidP="00B716CC">
      <w:pPr>
        <w:spacing w:line="276" w:lineRule="auto"/>
        <w:jc w:val="both"/>
        <w:rPr>
          <w:rFonts w:ascii="Times New Roman" w:hAnsi="Times New Roman" w:cs="Times New Roman"/>
          <w:b/>
          <w:sz w:val="24"/>
          <w:szCs w:val="24"/>
        </w:rPr>
      </w:pPr>
    </w:p>
    <w:p w14:paraId="2C059936" w14:textId="601FE785" w:rsidR="00190A87" w:rsidRPr="007B5BC4" w:rsidRDefault="00190A87" w:rsidP="009067B4">
      <w:pPr>
        <w:tabs>
          <w:tab w:val="left" w:pos="3840"/>
          <w:tab w:val="center" w:pos="4819"/>
        </w:tabs>
        <w:spacing w:line="276" w:lineRule="auto"/>
        <w:jc w:val="center"/>
        <w:rPr>
          <w:rFonts w:ascii="Times New Roman" w:eastAsia="Calibri" w:hAnsi="Times New Roman" w:cs="Times New Roman"/>
          <w:b/>
          <w:sz w:val="24"/>
          <w:szCs w:val="24"/>
        </w:rPr>
      </w:pPr>
      <w:r w:rsidRPr="007B5BC4">
        <w:rPr>
          <w:rFonts w:ascii="Times New Roman" w:eastAsia="Calibri" w:hAnsi="Times New Roman" w:cs="Times New Roman"/>
          <w:b/>
          <w:sz w:val="24"/>
          <w:szCs w:val="24"/>
        </w:rPr>
        <w:t>TITOLO III</w:t>
      </w:r>
    </w:p>
    <w:p w14:paraId="21FE18AE" w14:textId="3AC495D8" w:rsidR="00190A87" w:rsidRPr="007B5BC4" w:rsidRDefault="0065639A" w:rsidP="009067B4">
      <w:pPr>
        <w:spacing w:line="276" w:lineRule="auto"/>
        <w:ind w:firstLine="708"/>
        <w:jc w:val="center"/>
        <w:rPr>
          <w:rFonts w:ascii="Times New Roman" w:hAnsi="Times New Roman" w:cs="Times New Roman"/>
          <w:sz w:val="24"/>
          <w:szCs w:val="24"/>
        </w:rPr>
      </w:pPr>
      <w:r w:rsidRPr="007B5BC4">
        <w:rPr>
          <w:rFonts w:ascii="Times New Roman" w:hAnsi="Times New Roman" w:cs="Times New Roman"/>
          <w:b/>
          <w:bCs/>
          <w:caps/>
          <w:sz w:val="24"/>
          <w:szCs w:val="24"/>
        </w:rPr>
        <w:t>misure urgenti per l’efficienza del procedimento penale</w:t>
      </w:r>
    </w:p>
    <w:p w14:paraId="14EB887F" w14:textId="77777777" w:rsidR="00A1587B" w:rsidRPr="007B5BC4" w:rsidRDefault="00A1587B" w:rsidP="009067B4">
      <w:pPr>
        <w:spacing w:line="276" w:lineRule="auto"/>
        <w:jc w:val="center"/>
        <w:rPr>
          <w:rFonts w:ascii="Times New Roman" w:hAnsi="Times New Roman" w:cs="Times New Roman"/>
          <w:sz w:val="24"/>
          <w:szCs w:val="24"/>
        </w:rPr>
      </w:pPr>
    </w:p>
    <w:p w14:paraId="0A417AAB" w14:textId="6E2202B7" w:rsidR="0065639A" w:rsidRPr="007B5BC4" w:rsidRDefault="00190A87" w:rsidP="009067B4">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A</w:t>
      </w:r>
      <w:r w:rsidR="0065639A" w:rsidRPr="007B5BC4">
        <w:rPr>
          <w:rFonts w:ascii="Times New Roman" w:eastAsia="Calibri" w:hAnsi="Times New Roman" w:cs="Times New Roman"/>
          <w:b/>
          <w:bCs/>
          <w:kern w:val="0"/>
          <w:sz w:val="24"/>
          <w:szCs w:val="24"/>
          <w14:ligatures w14:val="standardContextual"/>
        </w:rPr>
        <w:t>RT. 1</w:t>
      </w:r>
      <w:r w:rsidR="005A7920">
        <w:rPr>
          <w:rFonts w:ascii="Times New Roman" w:eastAsia="Calibri" w:hAnsi="Times New Roman" w:cs="Times New Roman"/>
          <w:b/>
          <w:bCs/>
          <w:kern w:val="0"/>
          <w:sz w:val="24"/>
          <w:szCs w:val="24"/>
          <w14:ligatures w14:val="standardContextual"/>
        </w:rPr>
        <w:t>2</w:t>
      </w:r>
    </w:p>
    <w:p w14:paraId="46672FFB" w14:textId="77777777" w:rsidR="00DB07FE" w:rsidRPr="00DB07FE" w:rsidRDefault="00DB07FE" w:rsidP="00DB07FE">
      <w:pPr>
        <w:pStyle w:val="paragraph"/>
        <w:tabs>
          <w:tab w:val="left" w:pos="851"/>
        </w:tabs>
        <w:spacing w:before="0" w:beforeAutospacing="0" w:after="0" w:afterAutospacing="0"/>
        <w:ind w:left="567" w:right="567"/>
        <w:jc w:val="center"/>
        <w:textAlignment w:val="baseline"/>
        <w:rPr>
          <w:rStyle w:val="normaltextrun"/>
          <w:rFonts w:eastAsia="Batang"/>
          <w:b/>
          <w:bCs/>
          <w:i/>
          <w:iCs/>
        </w:rPr>
      </w:pPr>
      <w:r w:rsidRPr="00DB07FE">
        <w:rPr>
          <w:rStyle w:val="normaltextrun"/>
          <w:rFonts w:eastAsia="Batang"/>
          <w:b/>
          <w:bCs/>
          <w:i/>
          <w:iCs/>
        </w:rPr>
        <w:t>(Modifiche al codice di procedura penale per l’efficienza del procedimento penale)</w:t>
      </w:r>
    </w:p>
    <w:p w14:paraId="7FA8787C" w14:textId="77777777" w:rsidR="00DB07FE" w:rsidRPr="00114FE2" w:rsidRDefault="00DB07FE" w:rsidP="00DB07FE">
      <w:pPr>
        <w:pStyle w:val="paragraph"/>
        <w:tabs>
          <w:tab w:val="left" w:pos="851"/>
        </w:tabs>
        <w:spacing w:before="0" w:beforeAutospacing="0" w:after="0" w:afterAutospacing="0"/>
        <w:ind w:left="567" w:right="567"/>
        <w:jc w:val="both"/>
        <w:textAlignment w:val="baseline"/>
        <w:rPr>
          <w:rStyle w:val="normaltextrun"/>
          <w:rFonts w:eastAsia="Batang"/>
        </w:rPr>
      </w:pPr>
    </w:p>
    <w:p w14:paraId="7D23381C" w14:textId="77777777" w:rsidR="00DB07FE" w:rsidRPr="00114FE2" w:rsidRDefault="00DB07FE" w:rsidP="00DB07FE">
      <w:pPr>
        <w:pStyle w:val="paragraph"/>
        <w:tabs>
          <w:tab w:val="left" w:pos="8222"/>
        </w:tabs>
        <w:spacing w:before="0" w:beforeAutospacing="0" w:after="0" w:afterAutospacing="0"/>
        <w:ind w:left="1418" w:right="851"/>
        <w:jc w:val="both"/>
        <w:textAlignment w:val="baseline"/>
        <w:rPr>
          <w:rStyle w:val="normaltextrun"/>
          <w:rFonts w:eastAsia="Batang"/>
        </w:rPr>
      </w:pPr>
    </w:p>
    <w:p w14:paraId="4B2C8F2B" w14:textId="0CFA7FC6" w:rsidR="00DB07FE" w:rsidRPr="00114FE2" w:rsidRDefault="00AF729C" w:rsidP="00AF729C">
      <w:pPr>
        <w:pStyle w:val="NormaleWeb"/>
        <w:spacing w:before="0" w:beforeAutospacing="0" w:after="0" w:afterAutospacing="0"/>
        <w:ind w:right="140"/>
        <w:jc w:val="both"/>
      </w:pPr>
      <w:r>
        <w:rPr>
          <w:rStyle w:val="normaltextrun"/>
          <w:rFonts w:eastAsia="Batang"/>
        </w:rPr>
        <w:t xml:space="preserve">1. </w:t>
      </w:r>
      <w:r w:rsidR="00DB07FE" w:rsidRPr="00114FE2">
        <w:rPr>
          <w:rStyle w:val="normaltextrun"/>
          <w:rFonts w:eastAsia="Batang"/>
        </w:rPr>
        <w:t>A</w:t>
      </w:r>
      <w:r w:rsidR="00DB07FE" w:rsidRPr="00114FE2">
        <w:t>ll’articolo 610, comma 5, del codice di procedura penale, sono apportate le seguenti modificazioni:</w:t>
      </w:r>
    </w:p>
    <w:p w14:paraId="077D4E59" w14:textId="77777777" w:rsidR="00DB07FE" w:rsidRPr="00114FE2" w:rsidRDefault="00DB07FE" w:rsidP="00AF729C">
      <w:pPr>
        <w:pStyle w:val="NormaleWeb"/>
        <w:numPr>
          <w:ilvl w:val="0"/>
          <w:numId w:val="19"/>
        </w:numPr>
        <w:spacing w:before="0" w:beforeAutospacing="0" w:after="0" w:afterAutospacing="0"/>
        <w:ind w:right="140"/>
        <w:jc w:val="both"/>
        <w:rPr>
          <w:rStyle w:val="normaltextrun"/>
          <w:rFonts w:eastAsiaTheme="majorEastAsia"/>
        </w:rPr>
      </w:pPr>
      <w:r w:rsidRPr="00114FE2">
        <w:rPr>
          <w:rStyle w:val="normaltextrun"/>
          <w:rFonts w:eastAsia="Batang"/>
        </w:rPr>
        <w:t>le parole «</w:t>
      </w:r>
      <w:r w:rsidRPr="00CD7B73">
        <w:rPr>
          <w:rStyle w:val="normaltextrun"/>
          <w:rFonts w:eastAsia="Batang"/>
        </w:rPr>
        <w:t>se il ricorso sarà deciso a seguito di udienza pubblica ovvero in camera di consiglio</w:t>
      </w:r>
      <w:r w:rsidRPr="00114FE2">
        <w:rPr>
          <w:rStyle w:val="normaltextrun"/>
          <w:rFonts w:eastAsia="Batang"/>
        </w:rPr>
        <w:t xml:space="preserve">» sono </w:t>
      </w:r>
      <w:r>
        <w:rPr>
          <w:rStyle w:val="normaltextrun"/>
          <w:rFonts w:eastAsia="Batang"/>
        </w:rPr>
        <w:t>sostituite dal</w:t>
      </w:r>
      <w:r w:rsidRPr="00114FE2">
        <w:rPr>
          <w:rStyle w:val="normaltextrun"/>
          <w:rFonts w:eastAsia="Batang"/>
        </w:rPr>
        <w:t>le seguenti: «</w:t>
      </w:r>
      <w:r w:rsidRPr="00CD7B73">
        <w:rPr>
          <w:rStyle w:val="normaltextrun"/>
          <w:rFonts w:eastAsia="Batang"/>
        </w:rPr>
        <w:t>che il ricorso sarà deciso in camera di consiglio, senza la presenza delle parti, salvo il disposto dell’articolo 611</w:t>
      </w:r>
      <w:r w:rsidRPr="00114FE2">
        <w:rPr>
          <w:rStyle w:val="normaltextrun"/>
          <w:rFonts w:eastAsia="Batang"/>
        </w:rPr>
        <w:t>»;</w:t>
      </w:r>
    </w:p>
    <w:p w14:paraId="6D336B1F" w14:textId="77777777" w:rsidR="00DB07FE" w:rsidRPr="00114FE2" w:rsidRDefault="00DB07FE" w:rsidP="00AF729C">
      <w:pPr>
        <w:pStyle w:val="NormaleWeb"/>
        <w:numPr>
          <w:ilvl w:val="0"/>
          <w:numId w:val="19"/>
        </w:numPr>
        <w:spacing w:before="0" w:beforeAutospacing="0" w:after="0" w:afterAutospacing="0"/>
        <w:ind w:right="140"/>
        <w:jc w:val="both"/>
      </w:pPr>
      <w:r w:rsidRPr="00114FE2">
        <w:t xml:space="preserve">dopo il primo periodo è aggiunto il seguente: «Nei procedimenti da trattare con le forme previste dall’articolo 127 il termine è ridotto ad almeno venti giorni prima dell’udienza.»; </w:t>
      </w:r>
    </w:p>
    <w:p w14:paraId="68A16657" w14:textId="77777777" w:rsidR="00DB07FE" w:rsidRPr="00114FE2" w:rsidRDefault="00DB07FE" w:rsidP="00AF729C">
      <w:pPr>
        <w:pStyle w:val="NormaleWeb"/>
        <w:spacing w:before="0" w:beforeAutospacing="0" w:after="0" w:afterAutospacing="0"/>
        <w:ind w:right="140"/>
        <w:jc w:val="both"/>
        <w:rPr>
          <w:rStyle w:val="normaltextrun"/>
          <w:rFonts w:eastAsia="Batang"/>
        </w:rPr>
      </w:pPr>
    </w:p>
    <w:p w14:paraId="12E00EF8" w14:textId="616DC09E" w:rsidR="00DB07FE" w:rsidRPr="00114FE2" w:rsidRDefault="00AF729C" w:rsidP="00AF729C">
      <w:pPr>
        <w:pStyle w:val="NormaleWeb"/>
        <w:spacing w:before="0" w:beforeAutospacing="0" w:after="0" w:afterAutospacing="0"/>
        <w:ind w:right="140"/>
        <w:jc w:val="both"/>
      </w:pPr>
      <w:r>
        <w:rPr>
          <w:rStyle w:val="normaltextrun"/>
          <w:rFonts w:eastAsia="Batang"/>
        </w:rPr>
        <w:t xml:space="preserve">2. </w:t>
      </w:r>
      <w:r w:rsidR="00DB07FE" w:rsidRPr="00114FE2">
        <w:rPr>
          <w:rStyle w:val="normaltextrun"/>
          <w:rFonts w:eastAsia="Batang"/>
        </w:rPr>
        <w:t>A</w:t>
      </w:r>
      <w:r w:rsidR="00DB07FE" w:rsidRPr="00114FE2">
        <w:t>ll’articolo 611 del codice di procedura penale, sono apportate le seguenti modificazioni:</w:t>
      </w:r>
    </w:p>
    <w:p w14:paraId="38AB0122" w14:textId="77777777" w:rsidR="00DB07FE" w:rsidRPr="00114FE2" w:rsidRDefault="00DB07FE" w:rsidP="00AF729C">
      <w:pPr>
        <w:pStyle w:val="NormaleWeb"/>
        <w:numPr>
          <w:ilvl w:val="0"/>
          <w:numId w:val="17"/>
        </w:numPr>
        <w:spacing w:before="0" w:beforeAutospacing="0" w:after="0" w:afterAutospacing="0"/>
        <w:ind w:left="1276" w:right="140"/>
        <w:jc w:val="both"/>
      </w:pPr>
      <w:r w:rsidRPr="00114FE2">
        <w:t>al comma 1 è aggiunto il seguente periodo: «Nei procedimenti da trattare con le forme previste dall’articolo 127 i termini per presentare motivi nuovi e memorie sono ridotti a dieci giorni e per presentare memorie di replica a tre giorni.»;</w:t>
      </w:r>
    </w:p>
    <w:p w14:paraId="1357424E" w14:textId="77777777" w:rsidR="00DB07FE" w:rsidRPr="00114FE2" w:rsidRDefault="00DB07FE" w:rsidP="00AF729C">
      <w:pPr>
        <w:pStyle w:val="NormaleWeb"/>
        <w:numPr>
          <w:ilvl w:val="0"/>
          <w:numId w:val="17"/>
        </w:numPr>
        <w:spacing w:before="0" w:beforeAutospacing="0" w:after="0" w:afterAutospacing="0"/>
        <w:ind w:left="1276" w:right="140"/>
        <w:jc w:val="both"/>
      </w:pPr>
      <w:r w:rsidRPr="00114FE2">
        <w:t>al comma 1-</w:t>
      </w:r>
      <w:r w:rsidRPr="00114FE2">
        <w:rPr>
          <w:rFonts w:ascii="TimesNewRomanPS-ItalicMT" w:hAnsi="TimesNewRomanPS-ItalicMT"/>
          <w:i/>
          <w:iCs/>
        </w:rPr>
        <w:t>ter</w:t>
      </w:r>
      <w:r w:rsidRPr="00114FE2">
        <w:t>, il primo periodo è sostituito dal seguente: «Le richieste di cui al comma 1-</w:t>
      </w:r>
      <w:r w:rsidRPr="00114FE2">
        <w:rPr>
          <w:i/>
          <w:iCs/>
        </w:rPr>
        <w:t>bis</w:t>
      </w:r>
      <w:r w:rsidRPr="00114FE2">
        <w:t xml:space="preserve"> sono irrevocabili e sono presentate alla cancelleria dal procuratore generale o dal difensore abilitato a norma dell'articolo 613 entro il termine perentorio di venticinque giorni liberi prima dell'udienza ovvero di quindici giorni liberi prima dell’udienza nei procedimenti da trattare con le forme previste dall’articolo 127.»;</w:t>
      </w:r>
    </w:p>
    <w:p w14:paraId="159772B8" w14:textId="77777777" w:rsidR="00DB07FE" w:rsidRPr="00114FE2" w:rsidRDefault="00DB07FE" w:rsidP="00AF729C">
      <w:pPr>
        <w:pStyle w:val="NormaleWeb"/>
        <w:numPr>
          <w:ilvl w:val="0"/>
          <w:numId w:val="17"/>
        </w:numPr>
        <w:spacing w:before="0" w:beforeAutospacing="0" w:after="0" w:afterAutospacing="0"/>
        <w:ind w:left="1276" w:right="140"/>
        <w:jc w:val="both"/>
      </w:pPr>
      <w:r w:rsidRPr="00114FE2">
        <w:lastRenderedPageBreak/>
        <w:t>il comma 1-</w:t>
      </w:r>
      <w:r w:rsidRPr="00114FE2">
        <w:rPr>
          <w:rFonts w:ascii="TimesNewRomanPS-ItalicMT" w:hAnsi="TimesNewRomanPS-ItalicMT"/>
          <w:i/>
          <w:iCs/>
        </w:rPr>
        <w:t xml:space="preserve">quinquies </w:t>
      </w:r>
      <w:r w:rsidRPr="00114FE2">
        <w:rPr>
          <w:rFonts w:ascii="TimesNewRomanPS-ItalicMT" w:hAnsi="TimesNewRomanPS-ItalicMT"/>
          <w:iCs/>
        </w:rPr>
        <w:t>è soppresso</w:t>
      </w:r>
      <w:r w:rsidRPr="00114FE2">
        <w:t>.</w:t>
      </w:r>
    </w:p>
    <w:p w14:paraId="6E18C226" w14:textId="77777777" w:rsidR="00DB07FE" w:rsidRPr="00114FE2" w:rsidRDefault="00DB07FE" w:rsidP="00AF729C">
      <w:pPr>
        <w:pStyle w:val="NormaleWeb"/>
        <w:spacing w:before="0" w:beforeAutospacing="0" w:after="0" w:afterAutospacing="0"/>
        <w:ind w:left="1636" w:right="140"/>
        <w:jc w:val="both"/>
      </w:pPr>
    </w:p>
    <w:p w14:paraId="46DD2CAE" w14:textId="50393CB4" w:rsidR="00DB07FE" w:rsidRPr="00114FE2" w:rsidRDefault="00AF729C" w:rsidP="00AF729C">
      <w:pPr>
        <w:pStyle w:val="NormaleWeb"/>
        <w:spacing w:before="0" w:beforeAutospacing="0" w:after="0" w:afterAutospacing="0"/>
        <w:ind w:right="140"/>
        <w:jc w:val="both"/>
      </w:pPr>
      <w:r>
        <w:rPr>
          <w:rStyle w:val="normaltextrun"/>
          <w:rFonts w:eastAsia="Batang"/>
        </w:rPr>
        <w:t xml:space="preserve">3. </w:t>
      </w:r>
      <w:r w:rsidR="00DB07FE" w:rsidRPr="00114FE2">
        <w:rPr>
          <w:rStyle w:val="normaltextrun"/>
          <w:rFonts w:eastAsia="Batang"/>
        </w:rPr>
        <w:t>L</w:t>
      </w:r>
      <w:r w:rsidR="00DB07FE">
        <w:rPr>
          <w:rStyle w:val="normaltextrun"/>
          <w:rFonts w:eastAsia="Batang"/>
        </w:rPr>
        <w:t>e</w:t>
      </w:r>
      <w:r w:rsidR="00DB07FE" w:rsidRPr="00114FE2">
        <w:t xml:space="preserve"> disposizion</w:t>
      </w:r>
      <w:r w:rsidR="00DB07FE">
        <w:t>i</w:t>
      </w:r>
      <w:r w:rsidR="00DB07FE" w:rsidRPr="00114FE2">
        <w:t xml:space="preserve"> di cui ai commi 1 e 2 </w:t>
      </w:r>
      <w:r w:rsidR="00DB07FE">
        <w:t>si applicano ai ricorsi proposti dopo il 30 giugno 2024</w:t>
      </w:r>
      <w:r w:rsidR="00DB07FE" w:rsidRPr="00114FE2">
        <w:t>.</w:t>
      </w:r>
    </w:p>
    <w:p w14:paraId="17F73ACF" w14:textId="77777777" w:rsidR="007E1A02" w:rsidRPr="007B5BC4" w:rsidRDefault="007E1A02" w:rsidP="00B716CC">
      <w:pPr>
        <w:snapToGrid w:val="0"/>
        <w:spacing w:before="120" w:after="120" w:line="276" w:lineRule="auto"/>
        <w:jc w:val="both"/>
        <w:outlineLvl w:val="1"/>
        <w:rPr>
          <w:rFonts w:ascii="Times New Roman" w:eastAsia="Calibri" w:hAnsi="Times New Roman" w:cs="Times New Roman"/>
          <w:b/>
          <w:bCs/>
          <w:kern w:val="0"/>
          <w:sz w:val="24"/>
          <w:szCs w:val="24"/>
          <w14:ligatures w14:val="standardContextual"/>
        </w:rPr>
      </w:pPr>
    </w:p>
    <w:p w14:paraId="6D537C4E" w14:textId="07F4EEC0" w:rsidR="004B3BCD" w:rsidRPr="007B5BC4" w:rsidRDefault="004B3BCD" w:rsidP="006F1397">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t>A</w:t>
      </w:r>
      <w:r w:rsidR="00827BCC" w:rsidRPr="007B5BC4">
        <w:rPr>
          <w:rFonts w:ascii="Times New Roman" w:eastAsia="Calibri" w:hAnsi="Times New Roman" w:cs="Times New Roman"/>
          <w:b/>
          <w:bCs/>
          <w:kern w:val="0"/>
          <w:sz w:val="24"/>
          <w:szCs w:val="24"/>
          <w14:ligatures w14:val="standardContextual"/>
        </w:rPr>
        <w:t>RT</w:t>
      </w:r>
      <w:r w:rsidRPr="007B5BC4">
        <w:rPr>
          <w:rFonts w:ascii="Times New Roman" w:eastAsia="Calibri" w:hAnsi="Times New Roman" w:cs="Times New Roman"/>
          <w:b/>
          <w:bCs/>
          <w:kern w:val="0"/>
          <w:sz w:val="24"/>
          <w:szCs w:val="24"/>
          <w14:ligatures w14:val="standardContextual"/>
        </w:rPr>
        <w:t xml:space="preserve">. </w:t>
      </w:r>
      <w:r w:rsidR="0065639A" w:rsidRPr="007B5BC4">
        <w:rPr>
          <w:rFonts w:ascii="Times New Roman" w:eastAsia="Calibri" w:hAnsi="Times New Roman" w:cs="Times New Roman"/>
          <w:b/>
          <w:bCs/>
          <w:kern w:val="0"/>
          <w:sz w:val="24"/>
          <w:szCs w:val="24"/>
          <w14:ligatures w14:val="standardContextual"/>
        </w:rPr>
        <w:t>1</w:t>
      </w:r>
      <w:r w:rsidR="005A7920">
        <w:rPr>
          <w:rFonts w:ascii="Times New Roman" w:eastAsia="Calibri" w:hAnsi="Times New Roman" w:cs="Times New Roman"/>
          <w:b/>
          <w:bCs/>
          <w:kern w:val="0"/>
          <w:sz w:val="24"/>
          <w:szCs w:val="24"/>
          <w14:ligatures w14:val="standardContextual"/>
        </w:rPr>
        <w:t>3</w:t>
      </w:r>
    </w:p>
    <w:p w14:paraId="36D4A04B" w14:textId="77777777" w:rsidR="004B3BCD" w:rsidRPr="007B5BC4" w:rsidRDefault="004B3BCD" w:rsidP="006F1397">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7B5BC4">
        <w:rPr>
          <w:rFonts w:ascii="Times New Roman" w:eastAsia="Calibri" w:hAnsi="Times New Roman" w:cs="Times New Roman"/>
          <w:b/>
          <w:bCs/>
          <w:i/>
          <w:iCs/>
          <w:kern w:val="0"/>
          <w:sz w:val="24"/>
          <w:szCs w:val="24"/>
          <w14:ligatures w14:val="standardContextual"/>
        </w:rPr>
        <w:t>(Entrata in vigore)</w:t>
      </w:r>
    </w:p>
    <w:p w14:paraId="16161CB7"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1. Il presente decreto entra in vigore il giorno successivo a quello della sua pubblicazione nella Gazzetta Ufficiale della Repubblica italiana e sarà presentato alle Camere per la conversione in legge.</w:t>
      </w:r>
    </w:p>
    <w:p w14:paraId="6958462F"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05D937A9"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Il presente decreto, munito del sigillo dello Stato, sarà inserito nella Raccolta ufficiale degli atti normativi della Repubblica italiana. È fatto obbligo a chiunque spetti di osservarlo e di farlo osservare.</w:t>
      </w:r>
    </w:p>
    <w:p w14:paraId="7938FFC5"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1AB91D4F"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t xml:space="preserve">Dato a, </w:t>
      </w:r>
    </w:p>
    <w:p w14:paraId="4AA6132D" w14:textId="77777777" w:rsidR="004B3BCD" w:rsidRPr="007B5BC4" w:rsidRDefault="004B3BCD" w:rsidP="00B716CC">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603A7705" w14:textId="77777777" w:rsidR="004B3BCD" w:rsidRPr="007B5BC4" w:rsidRDefault="004B3BCD" w:rsidP="00B716CC">
      <w:pPr>
        <w:snapToGrid w:val="0"/>
        <w:spacing w:before="120" w:after="120" w:line="276" w:lineRule="auto"/>
        <w:jc w:val="both"/>
        <w:rPr>
          <w:rFonts w:ascii="Times New Roman" w:eastAsia="Times New Roman" w:hAnsi="Times New Roman" w:cs="Times New Roman"/>
          <w:color w:val="000000"/>
          <w:kern w:val="0"/>
          <w:sz w:val="24"/>
          <w:szCs w:val="24"/>
          <w:lang w:eastAsia="it-IT"/>
          <w14:ligatures w14:val="standardContextual"/>
        </w:rPr>
      </w:pPr>
    </w:p>
    <w:p w14:paraId="3DF4D435" w14:textId="77777777" w:rsidR="004B3BCD" w:rsidRPr="007B5BC4" w:rsidRDefault="004B3BCD" w:rsidP="00B716CC">
      <w:pPr>
        <w:spacing w:line="276" w:lineRule="auto"/>
        <w:jc w:val="both"/>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kern w:val="0"/>
          <w:sz w:val="24"/>
          <w:szCs w:val="24"/>
          <w14:ligatures w14:val="standardContextual"/>
        </w:rPr>
        <w:br w:type="page"/>
      </w:r>
    </w:p>
    <w:p w14:paraId="747DC37A" w14:textId="09B6DAD9" w:rsidR="004B3BCD" w:rsidRPr="007B5BC4" w:rsidRDefault="004B3BCD" w:rsidP="00B716CC">
      <w:pPr>
        <w:snapToGrid w:val="0"/>
        <w:spacing w:before="120" w:after="120" w:line="276" w:lineRule="auto"/>
        <w:jc w:val="both"/>
        <w:outlineLvl w:val="1"/>
        <w:rPr>
          <w:rFonts w:ascii="Times New Roman" w:eastAsia="Calibri" w:hAnsi="Times New Roman" w:cs="Times New Roman"/>
          <w:kern w:val="0"/>
          <w:sz w:val="24"/>
          <w:szCs w:val="24"/>
          <w14:ligatures w14:val="standardContextual"/>
        </w:rPr>
      </w:pPr>
      <w:r w:rsidRPr="007B5BC4">
        <w:rPr>
          <w:rFonts w:ascii="Times New Roman" w:eastAsia="Calibri" w:hAnsi="Times New Roman" w:cs="Times New Roman"/>
          <w:b/>
          <w:bCs/>
          <w:kern w:val="0"/>
          <w:sz w:val="24"/>
          <w:szCs w:val="24"/>
          <w14:ligatures w14:val="standardContextual"/>
        </w:rPr>
        <w:lastRenderedPageBreak/>
        <w:t>Allegato I</w:t>
      </w:r>
      <w:r w:rsidRPr="007B5BC4">
        <w:rPr>
          <w:rFonts w:ascii="Times New Roman" w:eastAsia="Calibri" w:hAnsi="Times New Roman" w:cs="Times New Roman"/>
          <w:b/>
          <w:bCs/>
          <w:i/>
          <w:iCs/>
          <w:kern w:val="0"/>
          <w:sz w:val="24"/>
          <w:szCs w:val="24"/>
          <w14:ligatures w14:val="standardContextual"/>
        </w:rPr>
        <w:tab/>
      </w:r>
      <w:r w:rsidRPr="007B5BC4">
        <w:rPr>
          <w:rFonts w:ascii="Times New Roman" w:eastAsia="Calibri" w:hAnsi="Times New Roman" w:cs="Times New Roman"/>
          <w:b/>
          <w:bCs/>
          <w:i/>
          <w:iCs/>
          <w:kern w:val="0"/>
          <w:sz w:val="24"/>
          <w:szCs w:val="24"/>
          <w14:ligatures w14:val="standardContextual"/>
        </w:rPr>
        <w:tab/>
      </w:r>
      <w:r w:rsidRPr="007B5BC4">
        <w:rPr>
          <w:rFonts w:ascii="Times New Roman" w:eastAsia="Calibri" w:hAnsi="Times New Roman" w:cs="Times New Roman"/>
          <w:b/>
          <w:bCs/>
          <w:i/>
          <w:iCs/>
          <w:kern w:val="0"/>
          <w:sz w:val="24"/>
          <w:szCs w:val="24"/>
          <w14:ligatures w14:val="standardContextual"/>
        </w:rPr>
        <w:tab/>
      </w:r>
      <w:r w:rsidRPr="007B5BC4">
        <w:rPr>
          <w:rFonts w:ascii="Times New Roman" w:eastAsia="Calibri" w:hAnsi="Times New Roman" w:cs="Times New Roman"/>
          <w:b/>
          <w:bCs/>
          <w:i/>
          <w:iCs/>
          <w:kern w:val="0"/>
          <w:sz w:val="24"/>
          <w:szCs w:val="24"/>
          <w14:ligatures w14:val="standardContextual"/>
        </w:rPr>
        <w:tab/>
      </w:r>
      <w:r w:rsidR="006F1397">
        <w:rPr>
          <w:rFonts w:ascii="Times New Roman" w:eastAsia="Calibri" w:hAnsi="Times New Roman" w:cs="Times New Roman"/>
          <w:b/>
          <w:bCs/>
          <w:i/>
          <w:iCs/>
          <w:kern w:val="0"/>
          <w:sz w:val="24"/>
          <w:szCs w:val="24"/>
          <w14:ligatures w14:val="standardContextual"/>
        </w:rPr>
        <w:tab/>
      </w:r>
      <w:r w:rsidRPr="007B5BC4">
        <w:rPr>
          <w:rFonts w:ascii="Times New Roman" w:eastAsia="Calibri" w:hAnsi="Times New Roman" w:cs="Times New Roman"/>
          <w:b/>
          <w:bCs/>
          <w:i/>
          <w:iCs/>
          <w:kern w:val="0"/>
          <w:sz w:val="24"/>
          <w:szCs w:val="24"/>
          <w14:ligatures w14:val="standardContextual"/>
        </w:rPr>
        <w:tab/>
      </w:r>
      <w:r w:rsidRPr="007B5BC4">
        <w:rPr>
          <w:rFonts w:ascii="Times New Roman" w:eastAsia="Calibri" w:hAnsi="Times New Roman" w:cs="Times New Roman"/>
          <w:b/>
          <w:bCs/>
          <w:i/>
          <w:iCs/>
          <w:kern w:val="0"/>
          <w:sz w:val="24"/>
          <w:szCs w:val="24"/>
          <w14:ligatures w14:val="standardContextual"/>
        </w:rPr>
        <w:tab/>
      </w:r>
      <w:r w:rsidRPr="007B5BC4">
        <w:rPr>
          <w:rFonts w:ascii="Times New Roman" w:eastAsia="Calibri" w:hAnsi="Times New Roman" w:cs="Times New Roman"/>
          <w:b/>
          <w:bCs/>
          <w:i/>
          <w:iCs/>
          <w:kern w:val="0"/>
          <w:sz w:val="24"/>
          <w:szCs w:val="24"/>
          <w14:ligatures w14:val="standardContextual"/>
        </w:rPr>
        <w:tab/>
      </w:r>
      <w:r w:rsidRPr="007B5BC4">
        <w:rPr>
          <w:rFonts w:ascii="Times New Roman" w:eastAsia="Calibri" w:hAnsi="Times New Roman" w:cs="Times New Roman"/>
          <w:b/>
          <w:bCs/>
          <w:kern w:val="0"/>
          <w:sz w:val="24"/>
          <w:szCs w:val="24"/>
          <w14:ligatures w14:val="standardContextual"/>
        </w:rPr>
        <w:t xml:space="preserve"> </w:t>
      </w:r>
      <w:r w:rsidRPr="007B5BC4">
        <w:rPr>
          <w:rFonts w:ascii="Times New Roman" w:eastAsia="Calibri" w:hAnsi="Times New Roman" w:cs="Times New Roman"/>
          <w:kern w:val="0"/>
          <w:sz w:val="24"/>
          <w:szCs w:val="24"/>
          <w14:ligatures w14:val="standardContextual"/>
        </w:rPr>
        <w:t xml:space="preserve">(di cui all’articolo </w:t>
      </w:r>
      <w:r w:rsidR="000D626B" w:rsidRPr="007B5BC4">
        <w:rPr>
          <w:rFonts w:ascii="Times New Roman" w:eastAsia="Calibri" w:hAnsi="Times New Roman" w:cs="Times New Roman"/>
          <w:kern w:val="0"/>
          <w:sz w:val="24"/>
          <w:szCs w:val="24"/>
          <w14:ligatures w14:val="standardContextual"/>
        </w:rPr>
        <w:t>3</w:t>
      </w:r>
      <w:r w:rsidRPr="007B5BC4">
        <w:rPr>
          <w:rFonts w:ascii="Times New Roman" w:eastAsia="Calibri" w:hAnsi="Times New Roman" w:cs="Times New Roman"/>
          <w:kern w:val="0"/>
          <w:sz w:val="24"/>
          <w:szCs w:val="24"/>
          <w14:ligatures w14:val="standardContextual"/>
        </w:rPr>
        <w:t>, comma 1)</w:t>
      </w:r>
    </w:p>
    <w:p w14:paraId="46267668" w14:textId="77777777" w:rsidR="0036674F" w:rsidRDefault="0036674F" w:rsidP="002B6966">
      <w:pPr>
        <w:spacing w:before="120" w:after="120" w:line="276" w:lineRule="auto"/>
        <w:jc w:val="center"/>
        <w:rPr>
          <w:rFonts w:ascii="Times New Roman" w:eastAsia="Calibri" w:hAnsi="Times New Roman" w:cs="Times New Roman"/>
          <w:kern w:val="0"/>
          <w:sz w:val="24"/>
          <w:szCs w:val="24"/>
          <w14:ligatures w14:val="standardContextual"/>
        </w:rPr>
      </w:pPr>
    </w:p>
    <w:p w14:paraId="4F8C3AA9" w14:textId="4523EF87" w:rsidR="002B6966" w:rsidRPr="007B5BC4" w:rsidRDefault="002B6966" w:rsidP="0036674F">
      <w:pPr>
        <w:spacing w:before="120" w:after="120" w:line="360" w:lineRule="auto"/>
        <w:jc w:val="center"/>
        <w:rPr>
          <w:rFonts w:ascii="Times New Roman" w:eastAsia="Calibri" w:hAnsi="Times New Roman" w:cs="Times New Roman"/>
          <w:kern w:val="0"/>
          <w:sz w:val="24"/>
          <w:szCs w:val="24"/>
          <w14:ligatures w14:val="standardContextual"/>
        </w:rPr>
      </w:pPr>
      <w:r>
        <w:rPr>
          <w:rFonts w:ascii="Times New Roman" w:eastAsia="Calibri" w:hAnsi="Times New Roman" w:cs="Times New Roman"/>
          <w:kern w:val="0"/>
          <w:sz w:val="24"/>
          <w:szCs w:val="24"/>
          <w14:ligatures w14:val="standardContextual"/>
        </w:rPr>
        <w:t>«</w:t>
      </w:r>
      <w:r w:rsidR="004B3BCD" w:rsidRPr="007B5BC4">
        <w:rPr>
          <w:rFonts w:ascii="Times New Roman" w:eastAsia="Calibri" w:hAnsi="Times New Roman" w:cs="Times New Roman"/>
          <w:i/>
          <w:iCs/>
          <w:kern w:val="0"/>
          <w:sz w:val="24"/>
          <w:szCs w:val="24"/>
          <w14:ligatures w14:val="standardContextual"/>
        </w:rPr>
        <w:t>Commissari straordinari nominati ai sensi di specifiche normative di settore</w:t>
      </w:r>
      <w:r>
        <w:rPr>
          <w:rFonts w:ascii="Times New Roman" w:eastAsia="Calibri" w:hAnsi="Times New Roman" w:cs="Times New Roman"/>
          <w:kern w:val="0"/>
          <w:sz w:val="24"/>
          <w:szCs w:val="24"/>
          <w14:ligatures w14:val="standardContextual"/>
        </w:rPr>
        <w:t>»</w:t>
      </w:r>
    </w:p>
    <w:p w14:paraId="64C6C1BD"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l'espletamento delle attività di programmazione, progettazione, affidamento ed esecuzione dei necessari interventi, da attuare per fasi funzionali secondo livelli di priorità per la sicurezza antisismica, delle autostrade A24 e A25;</w:t>
      </w:r>
    </w:p>
    <w:p w14:paraId="38035783"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realizzazione interventi per finalità portuali e ambientali Porto di Piombino ai sensi dell’articolo 1, comma 2, del decreto-legge n. 43 del 2013;</w:t>
      </w:r>
    </w:p>
    <w:p w14:paraId="73410CFC" w14:textId="77777777" w:rsidR="004B3BCD" w:rsidRPr="007B5BC4" w:rsidRDefault="004B3BCD" w:rsidP="0036674F">
      <w:pPr>
        <w:numPr>
          <w:ilvl w:val="1"/>
          <w:numId w:val="4"/>
        </w:numPr>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con il compito di sovraintendere alle fasi di prosecuzione dei lavori volti al completamento del modulo sperimentale elettromeccanico per la tutela e la salvaguardia della Laguna di Venezia, noto come sistema MOSE, ai sensi del dell'articolo 4, comma 6-bis, del decreto-legge 18 aprile 2019, n. 32, convertito, con modificazioni, nella legge 14 giugno 2019, n. 55;</w:t>
      </w:r>
    </w:p>
    <w:p w14:paraId="219C1BEE"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 xml:space="preserve">Commissario straordinario con il compito di sovraintendere alla progettazione, all'affidamento e all'esecuzione degli interventi indifferibili ed urgenti volti a fronteggiare la situazione di grave rischio idrogeologico e conseguire adeguati standard di qualità delle acque e di sicurezza idraulica del sistema idrico del Gran Sasso, ai sensi </w:t>
      </w:r>
      <w:bookmarkStart w:id="17" w:name="_Hlk165290869"/>
      <w:r w:rsidRPr="007B5BC4">
        <w:rPr>
          <w:rFonts w:ascii="Times New Roman" w:eastAsia="Times New Roman" w:hAnsi="Times New Roman" w:cs="Times New Roman"/>
          <w:color w:val="000000"/>
          <w:kern w:val="0"/>
          <w:sz w:val="24"/>
          <w:szCs w:val="24"/>
          <w:lang w:eastAsia="it-IT"/>
          <w14:ligatures w14:val="standardContextual"/>
        </w:rPr>
        <w:t>dell'articolo 4-ter, comma 1, del decreto-legge 18 aprile 2019, n. 32, convertito, con modificazioni, nella legge 14 giugno 2019, n. 55;</w:t>
      </w:r>
    </w:p>
    <w:bookmarkEnd w:id="17"/>
    <w:p w14:paraId="7CE84104"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la realizzazione dell’intervento denominato “Strada Statale n. 38, Variante di Tirano, Lotto n. 4- Nodo di Tirano”, ai sensi dell'articolo 33, comma 5, del decreto-legge 24 febbraio 2023, n. 13, convertito, con modificazioni, dalla legge 21 aprile 2023, n. 41;</w:t>
      </w:r>
    </w:p>
    <w:p w14:paraId="75132232"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il coordinamento degli interventi inclusi nel piano di adeguamento e riqualificazione dell'autostrada A19 Palermo-Catania dell'articolo 4, comma 7-bis, del decreto-legge 31 marzo 2023, n. 35, convertito, con modificazioni, nella legge 26 maggio 2023, n. 58;</w:t>
      </w:r>
    </w:p>
    <w:p w14:paraId="7A13E028"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la realizzazione della linea 2 della metropolitana della città di Torino, ai sensi dell’articolo 33, comma 5-quater del decreto-legge 24 febbraio 2023, n. 13, convertito, con modificazioni, dalla legge 21 aprile 2023, n. 41;</w:t>
      </w:r>
    </w:p>
    <w:p w14:paraId="678B5271"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assicurare lo svolgimento della progettazione nonché la realizzazione delle opere infrastrutturali necessarie a garantire la sostenibilità delle Olimpiadi invernali Milano-Cortina 2026, ai sensi dell’articolo 3 del decreto-legge 11 marzo 2020, n. 16 convertito, con modificazioni, dalla legge 13 marzo 2020, n. 66;</w:t>
      </w:r>
    </w:p>
    <w:p w14:paraId="66E6B940"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lastRenderedPageBreak/>
        <w:t>Commissario straordinario per l’esecuzione della variante di Demonte, ai sensi dell’articolo 19-bis, comma 1, del decreto-legge 10 agosto 2023, n. 104, convertito, con modificazioni, dalla legge 9 ottobre 2023, n. 136;</w:t>
      </w:r>
    </w:p>
    <w:p w14:paraId="3C5DC449"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la realizzazione del progetto unico Terzo Valico dei Giovi e Nodo ferroviario di Genova, ai sensi dell'articolo 4, comma 12-octies, del decreto-legge 18 aprile 2019, n. 32, convertito, con modificazioni, nella legge 14 giugno 2019, n. 55;</w:t>
      </w:r>
    </w:p>
    <w:p w14:paraId="743FFDE8" w14:textId="77777777" w:rsidR="004B3BCD" w:rsidRPr="007B5BC4"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l’area di crisi industriale complessa di Trieste – Ferriera di Servola ai sensi dell’articolo 4, comma 11, del decreto-legge 23 dicembre 2013 n. 145, convertito, con modificazioni, dalla legge 21 febbraio 2014, n. 9;</w:t>
      </w:r>
    </w:p>
    <w:p w14:paraId="25CA9EBE" w14:textId="4145FC1E" w:rsidR="00B77E8F" w:rsidRPr="0036674F" w:rsidRDefault="004B3BCD" w:rsidP="0036674F">
      <w:pPr>
        <w:numPr>
          <w:ilvl w:val="1"/>
          <w:numId w:val="4"/>
        </w:numPr>
        <w:snapToGrid w:val="0"/>
        <w:spacing w:before="120" w:after="120" w:line="360" w:lineRule="auto"/>
        <w:ind w:left="360"/>
        <w:jc w:val="both"/>
        <w:rPr>
          <w:rFonts w:ascii="Times New Roman" w:eastAsia="Times New Roman" w:hAnsi="Times New Roman" w:cs="Times New Roman"/>
          <w:color w:val="000000"/>
          <w:kern w:val="0"/>
          <w:sz w:val="24"/>
          <w:szCs w:val="24"/>
          <w:lang w:eastAsia="it-IT"/>
          <w14:ligatures w14:val="standardContextual"/>
        </w:rPr>
      </w:pPr>
      <w:r w:rsidRPr="007B5BC4">
        <w:rPr>
          <w:rFonts w:ascii="Times New Roman" w:eastAsia="Times New Roman" w:hAnsi="Times New Roman" w:cs="Times New Roman"/>
          <w:color w:val="000000"/>
          <w:kern w:val="0"/>
          <w:sz w:val="24"/>
          <w:szCs w:val="24"/>
          <w:lang w:eastAsia="it-IT"/>
          <w14:ligatures w14:val="standardContextual"/>
        </w:rPr>
        <w:t>Commissario straordinario per la ricostruzione ai sensi dell'articolo 1 del decreto-legge 28 settembre 2018, n. 109.</w:t>
      </w:r>
    </w:p>
    <w:sectPr w:rsidR="00B77E8F" w:rsidRPr="0036674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568D8" w14:textId="77777777" w:rsidR="00A47FB4" w:rsidRDefault="00A47FB4" w:rsidP="00307E25">
      <w:pPr>
        <w:spacing w:after="0" w:line="240" w:lineRule="auto"/>
      </w:pPr>
      <w:r>
        <w:separator/>
      </w:r>
    </w:p>
  </w:endnote>
  <w:endnote w:type="continuationSeparator" w:id="0">
    <w:p w14:paraId="01C194B8" w14:textId="77777777" w:rsidR="00A47FB4" w:rsidRDefault="00A47FB4" w:rsidP="0030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56505" w14:textId="77777777" w:rsidR="00A47FB4" w:rsidRDefault="00A47FB4" w:rsidP="00307E25">
      <w:pPr>
        <w:spacing w:after="0" w:line="240" w:lineRule="auto"/>
      </w:pPr>
      <w:r>
        <w:separator/>
      </w:r>
    </w:p>
  </w:footnote>
  <w:footnote w:type="continuationSeparator" w:id="0">
    <w:p w14:paraId="38A33D03" w14:textId="77777777" w:rsidR="00A47FB4" w:rsidRDefault="00A47FB4" w:rsidP="00307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2DC"/>
    <w:multiLevelType w:val="hybridMultilevel"/>
    <w:tmpl w:val="C548EE38"/>
    <w:lvl w:ilvl="0" w:tplc="A39E5D88">
      <w:start w:val="1"/>
      <w:numFmt w:val="decimal"/>
      <w:lvlText w:val="%1)"/>
      <w:lvlJc w:val="left"/>
      <w:pPr>
        <w:ind w:left="1080" w:hanging="360"/>
      </w:pPr>
      <w:rPr>
        <w:rFonts w:hint="default"/>
      </w:rPr>
    </w:lvl>
    <w:lvl w:ilvl="1" w:tplc="7F882D3E">
      <w:start w:val="1"/>
      <w:numFmt w:val="low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15E06E8"/>
    <w:multiLevelType w:val="hybridMultilevel"/>
    <w:tmpl w:val="15388CAE"/>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15:restartNumberingAfterBreak="0">
    <w:nsid w:val="14E0046F"/>
    <w:multiLevelType w:val="hybridMultilevel"/>
    <w:tmpl w:val="003696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83154D"/>
    <w:multiLevelType w:val="hybridMultilevel"/>
    <w:tmpl w:val="D3FE3000"/>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E35DA0"/>
    <w:multiLevelType w:val="hybridMultilevel"/>
    <w:tmpl w:val="6CD218B4"/>
    <w:lvl w:ilvl="0" w:tplc="074E9D50">
      <w:start w:val="1"/>
      <w:numFmt w:val="decimal"/>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C2C5D95"/>
    <w:multiLevelType w:val="hybridMultilevel"/>
    <w:tmpl w:val="3056D1CA"/>
    <w:lvl w:ilvl="0" w:tplc="FFFFFFFF">
      <w:start w:val="1"/>
      <w:numFmt w:val="bullet"/>
      <w:lvlText w:val="-"/>
      <w:lvlJc w:val="left"/>
      <w:pPr>
        <w:ind w:left="360" w:hanging="360"/>
      </w:pPr>
      <w:rPr>
        <w:rFonts w:ascii="Times New Roman" w:eastAsia="Times New Roman" w:hAnsi="Times New Roman" w:cs="Times New Roman" w:hint="default"/>
      </w:rPr>
    </w:lvl>
    <w:lvl w:ilvl="1" w:tplc="04100011">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ECC7A9D"/>
    <w:multiLevelType w:val="hybridMultilevel"/>
    <w:tmpl w:val="A6D820FC"/>
    <w:lvl w:ilvl="0" w:tplc="497689D8">
      <w:start w:val="1"/>
      <w:numFmt w:val="lowerLetter"/>
      <w:lvlText w:val="%1)"/>
      <w:lvlJc w:val="left"/>
      <w:pPr>
        <w:ind w:left="1287" w:hanging="360"/>
      </w:pPr>
      <w:rPr>
        <w:rFonts w:eastAsia="Batang"/>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7" w15:restartNumberingAfterBreak="0">
    <w:nsid w:val="33772003"/>
    <w:multiLevelType w:val="hybridMultilevel"/>
    <w:tmpl w:val="54EEADFA"/>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92" w:hanging="360"/>
      </w:pPr>
    </w:lvl>
    <w:lvl w:ilvl="2" w:tplc="0410001B" w:tentative="1">
      <w:start w:val="1"/>
      <w:numFmt w:val="lowerRoman"/>
      <w:lvlText w:val="%3."/>
      <w:lvlJc w:val="right"/>
      <w:pPr>
        <w:ind w:left="4712" w:hanging="180"/>
      </w:pPr>
    </w:lvl>
    <w:lvl w:ilvl="3" w:tplc="0410000F" w:tentative="1">
      <w:start w:val="1"/>
      <w:numFmt w:val="decimal"/>
      <w:lvlText w:val="%4."/>
      <w:lvlJc w:val="left"/>
      <w:pPr>
        <w:ind w:left="5432" w:hanging="360"/>
      </w:pPr>
    </w:lvl>
    <w:lvl w:ilvl="4" w:tplc="04100019" w:tentative="1">
      <w:start w:val="1"/>
      <w:numFmt w:val="lowerLetter"/>
      <w:lvlText w:val="%5."/>
      <w:lvlJc w:val="left"/>
      <w:pPr>
        <w:ind w:left="6152" w:hanging="360"/>
      </w:pPr>
    </w:lvl>
    <w:lvl w:ilvl="5" w:tplc="0410001B" w:tentative="1">
      <w:start w:val="1"/>
      <w:numFmt w:val="lowerRoman"/>
      <w:lvlText w:val="%6."/>
      <w:lvlJc w:val="right"/>
      <w:pPr>
        <w:ind w:left="6872" w:hanging="180"/>
      </w:pPr>
    </w:lvl>
    <w:lvl w:ilvl="6" w:tplc="0410000F" w:tentative="1">
      <w:start w:val="1"/>
      <w:numFmt w:val="decimal"/>
      <w:lvlText w:val="%7."/>
      <w:lvlJc w:val="left"/>
      <w:pPr>
        <w:ind w:left="7592" w:hanging="360"/>
      </w:pPr>
    </w:lvl>
    <w:lvl w:ilvl="7" w:tplc="04100019" w:tentative="1">
      <w:start w:val="1"/>
      <w:numFmt w:val="lowerLetter"/>
      <w:lvlText w:val="%8."/>
      <w:lvlJc w:val="left"/>
      <w:pPr>
        <w:ind w:left="8312" w:hanging="360"/>
      </w:pPr>
    </w:lvl>
    <w:lvl w:ilvl="8" w:tplc="0410001B" w:tentative="1">
      <w:start w:val="1"/>
      <w:numFmt w:val="lowerRoman"/>
      <w:lvlText w:val="%9."/>
      <w:lvlJc w:val="right"/>
      <w:pPr>
        <w:ind w:left="9032" w:hanging="180"/>
      </w:pPr>
    </w:lvl>
  </w:abstractNum>
  <w:abstractNum w:abstractNumId="8" w15:restartNumberingAfterBreak="0">
    <w:nsid w:val="53483FA9"/>
    <w:multiLevelType w:val="hybridMultilevel"/>
    <w:tmpl w:val="1820EA6C"/>
    <w:lvl w:ilvl="0" w:tplc="C3260562">
      <w:start w:val="1"/>
      <w:numFmt w:val="decimal"/>
      <w:lvlText w:val="%1."/>
      <w:lvlJc w:val="left"/>
      <w:pPr>
        <w:ind w:left="720" w:hanging="360"/>
      </w:pPr>
      <w:rPr>
        <w:rFonts w:ascii="Times New Roman" w:eastAsiaTheme="minorHAnsi" w:hAnsi="Times New Roman" w:cs="Times New Roman"/>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2B032B"/>
    <w:multiLevelType w:val="hybridMultilevel"/>
    <w:tmpl w:val="2E7A4E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BD604A"/>
    <w:multiLevelType w:val="hybridMultilevel"/>
    <w:tmpl w:val="ED347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883878"/>
    <w:multiLevelType w:val="hybridMultilevel"/>
    <w:tmpl w:val="B44402C4"/>
    <w:lvl w:ilvl="0" w:tplc="855A75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12927B7"/>
    <w:multiLevelType w:val="hybridMultilevel"/>
    <w:tmpl w:val="C04257C8"/>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3" w15:restartNumberingAfterBreak="0">
    <w:nsid w:val="617D4E04"/>
    <w:multiLevelType w:val="hybridMultilevel"/>
    <w:tmpl w:val="4AAAD914"/>
    <w:lvl w:ilvl="0" w:tplc="0150B1A2">
      <w:start w:val="1"/>
      <w:numFmt w:val="decimal"/>
      <w:lvlText w:val="%1."/>
      <w:lvlJc w:val="left"/>
      <w:pPr>
        <w:ind w:left="927" w:hanging="360"/>
      </w:pPr>
      <w:rPr>
        <w:rFonts w:eastAsia="Batang"/>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4" w15:restartNumberingAfterBreak="0">
    <w:nsid w:val="6B241ABF"/>
    <w:multiLevelType w:val="hybridMultilevel"/>
    <w:tmpl w:val="EB3261E4"/>
    <w:lvl w:ilvl="0" w:tplc="14F2094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7E555389"/>
    <w:multiLevelType w:val="hybridMultilevel"/>
    <w:tmpl w:val="E0C69BC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674261607">
    <w:abstractNumId w:val="15"/>
  </w:num>
  <w:num w:numId="2" w16cid:durableId="1551112862">
    <w:abstractNumId w:val="1"/>
  </w:num>
  <w:num w:numId="3" w16cid:durableId="897592929">
    <w:abstractNumId w:val="4"/>
  </w:num>
  <w:num w:numId="4" w16cid:durableId="2035615070">
    <w:abstractNumId w:val="5"/>
  </w:num>
  <w:num w:numId="5" w16cid:durableId="455373590">
    <w:abstractNumId w:val="10"/>
  </w:num>
  <w:num w:numId="6" w16cid:durableId="267978063">
    <w:abstractNumId w:val="0"/>
  </w:num>
  <w:num w:numId="7" w16cid:durableId="1293361572">
    <w:abstractNumId w:val="11"/>
  </w:num>
  <w:num w:numId="8" w16cid:durableId="1311788146">
    <w:abstractNumId w:val="3"/>
  </w:num>
  <w:num w:numId="9" w16cid:durableId="1027221021">
    <w:abstractNumId w:val="7"/>
  </w:num>
  <w:num w:numId="10" w16cid:durableId="1083532754">
    <w:abstractNumId w:val="2"/>
  </w:num>
  <w:num w:numId="11" w16cid:durableId="1831091560">
    <w:abstractNumId w:val="14"/>
  </w:num>
  <w:num w:numId="12" w16cid:durableId="1431045218">
    <w:abstractNumId w:val="9"/>
  </w:num>
  <w:num w:numId="13" w16cid:durableId="1065183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388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2184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5981660">
    <w:abstractNumId w:val="8"/>
  </w:num>
  <w:num w:numId="17" w16cid:durableId="1138183843">
    <w:abstractNumId w:val="12"/>
  </w:num>
  <w:num w:numId="18" w16cid:durableId="1688292196">
    <w:abstractNumId w:val="13"/>
  </w:num>
  <w:num w:numId="19" w16cid:durableId="1057322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CD"/>
    <w:rsid w:val="00000BE6"/>
    <w:rsid w:val="00020752"/>
    <w:rsid w:val="00031DDB"/>
    <w:rsid w:val="00035CFF"/>
    <w:rsid w:val="00036C9A"/>
    <w:rsid w:val="000766F0"/>
    <w:rsid w:val="00077D6A"/>
    <w:rsid w:val="00082850"/>
    <w:rsid w:val="000A2964"/>
    <w:rsid w:val="000A2A58"/>
    <w:rsid w:val="000D626B"/>
    <w:rsid w:val="000F2BA2"/>
    <w:rsid w:val="000F2D80"/>
    <w:rsid w:val="000F546D"/>
    <w:rsid w:val="00112DC7"/>
    <w:rsid w:val="00127BA3"/>
    <w:rsid w:val="0013044A"/>
    <w:rsid w:val="00141BEA"/>
    <w:rsid w:val="001422BF"/>
    <w:rsid w:val="0014309E"/>
    <w:rsid w:val="00157D47"/>
    <w:rsid w:val="00163E00"/>
    <w:rsid w:val="00176AAF"/>
    <w:rsid w:val="00186DE5"/>
    <w:rsid w:val="00190A87"/>
    <w:rsid w:val="0019644B"/>
    <w:rsid w:val="001A0119"/>
    <w:rsid w:val="001A45D8"/>
    <w:rsid w:val="001A4EE4"/>
    <w:rsid w:val="001B215B"/>
    <w:rsid w:val="001B4DAC"/>
    <w:rsid w:val="001B57B0"/>
    <w:rsid w:val="001B60B6"/>
    <w:rsid w:val="001E1728"/>
    <w:rsid w:val="001F6C6C"/>
    <w:rsid w:val="00205FAE"/>
    <w:rsid w:val="002104F9"/>
    <w:rsid w:val="002332A1"/>
    <w:rsid w:val="002406A5"/>
    <w:rsid w:val="00245CBD"/>
    <w:rsid w:val="00254F6A"/>
    <w:rsid w:val="002629A1"/>
    <w:rsid w:val="00273A01"/>
    <w:rsid w:val="002B6966"/>
    <w:rsid w:val="002D0608"/>
    <w:rsid w:val="002D07DF"/>
    <w:rsid w:val="002F0046"/>
    <w:rsid w:val="00303DA2"/>
    <w:rsid w:val="00307E25"/>
    <w:rsid w:val="003178BC"/>
    <w:rsid w:val="00317F41"/>
    <w:rsid w:val="003200E8"/>
    <w:rsid w:val="00345E15"/>
    <w:rsid w:val="0036674F"/>
    <w:rsid w:val="003A4436"/>
    <w:rsid w:val="003B4FFA"/>
    <w:rsid w:val="003D62F7"/>
    <w:rsid w:val="003E30C8"/>
    <w:rsid w:val="003E5029"/>
    <w:rsid w:val="003F4AAA"/>
    <w:rsid w:val="003F7EB8"/>
    <w:rsid w:val="004156C4"/>
    <w:rsid w:val="00433FAD"/>
    <w:rsid w:val="0044035D"/>
    <w:rsid w:val="00443332"/>
    <w:rsid w:val="00450700"/>
    <w:rsid w:val="004522DC"/>
    <w:rsid w:val="004551F5"/>
    <w:rsid w:val="004555EF"/>
    <w:rsid w:val="00467452"/>
    <w:rsid w:val="00470486"/>
    <w:rsid w:val="00473DAB"/>
    <w:rsid w:val="00475278"/>
    <w:rsid w:val="004A5846"/>
    <w:rsid w:val="004B056A"/>
    <w:rsid w:val="004B0B2D"/>
    <w:rsid w:val="004B3BCD"/>
    <w:rsid w:val="004C712A"/>
    <w:rsid w:val="004D03CE"/>
    <w:rsid w:val="0050431B"/>
    <w:rsid w:val="00507C7E"/>
    <w:rsid w:val="00511FF9"/>
    <w:rsid w:val="005229F1"/>
    <w:rsid w:val="005261ED"/>
    <w:rsid w:val="0052757B"/>
    <w:rsid w:val="00540E5A"/>
    <w:rsid w:val="005479A7"/>
    <w:rsid w:val="00597C15"/>
    <w:rsid w:val="005A21B5"/>
    <w:rsid w:val="005A7920"/>
    <w:rsid w:val="005B464C"/>
    <w:rsid w:val="005D4257"/>
    <w:rsid w:val="00604716"/>
    <w:rsid w:val="006130CB"/>
    <w:rsid w:val="0061776D"/>
    <w:rsid w:val="0063051E"/>
    <w:rsid w:val="0064625A"/>
    <w:rsid w:val="0065639A"/>
    <w:rsid w:val="00662A03"/>
    <w:rsid w:val="00663397"/>
    <w:rsid w:val="0067589D"/>
    <w:rsid w:val="0068277C"/>
    <w:rsid w:val="006A2359"/>
    <w:rsid w:val="006A761F"/>
    <w:rsid w:val="006A7F7D"/>
    <w:rsid w:val="006B16EB"/>
    <w:rsid w:val="006B52B3"/>
    <w:rsid w:val="006C578B"/>
    <w:rsid w:val="006C7272"/>
    <w:rsid w:val="006F1397"/>
    <w:rsid w:val="00701CD8"/>
    <w:rsid w:val="007079FE"/>
    <w:rsid w:val="00717A2E"/>
    <w:rsid w:val="00735024"/>
    <w:rsid w:val="007405D3"/>
    <w:rsid w:val="00740640"/>
    <w:rsid w:val="00752709"/>
    <w:rsid w:val="00756C0E"/>
    <w:rsid w:val="00760C41"/>
    <w:rsid w:val="00763EF5"/>
    <w:rsid w:val="00765825"/>
    <w:rsid w:val="007712D9"/>
    <w:rsid w:val="00776175"/>
    <w:rsid w:val="00781859"/>
    <w:rsid w:val="00781B7A"/>
    <w:rsid w:val="007832CA"/>
    <w:rsid w:val="0078388D"/>
    <w:rsid w:val="007912B4"/>
    <w:rsid w:val="00792485"/>
    <w:rsid w:val="007A74BA"/>
    <w:rsid w:val="007B3D5D"/>
    <w:rsid w:val="007B5BC4"/>
    <w:rsid w:val="007C25BE"/>
    <w:rsid w:val="007C39DB"/>
    <w:rsid w:val="007D00E2"/>
    <w:rsid w:val="007D7FEB"/>
    <w:rsid w:val="007E1A02"/>
    <w:rsid w:val="007E4E61"/>
    <w:rsid w:val="007F19DE"/>
    <w:rsid w:val="007F2DE5"/>
    <w:rsid w:val="00803731"/>
    <w:rsid w:val="00806117"/>
    <w:rsid w:val="00806E48"/>
    <w:rsid w:val="00827BCC"/>
    <w:rsid w:val="00835F77"/>
    <w:rsid w:val="0083780C"/>
    <w:rsid w:val="0084019A"/>
    <w:rsid w:val="0084705F"/>
    <w:rsid w:val="008567BA"/>
    <w:rsid w:val="00856D22"/>
    <w:rsid w:val="00861FE2"/>
    <w:rsid w:val="00863FD0"/>
    <w:rsid w:val="00891D1F"/>
    <w:rsid w:val="008C322E"/>
    <w:rsid w:val="008C44CC"/>
    <w:rsid w:val="008D77CD"/>
    <w:rsid w:val="008E1915"/>
    <w:rsid w:val="008F139B"/>
    <w:rsid w:val="008F761C"/>
    <w:rsid w:val="008F7889"/>
    <w:rsid w:val="00903C17"/>
    <w:rsid w:val="009067B4"/>
    <w:rsid w:val="0091040E"/>
    <w:rsid w:val="009214B5"/>
    <w:rsid w:val="0093175A"/>
    <w:rsid w:val="0093595D"/>
    <w:rsid w:val="00940DD5"/>
    <w:rsid w:val="00964DDD"/>
    <w:rsid w:val="0097451D"/>
    <w:rsid w:val="009754D7"/>
    <w:rsid w:val="00975E4A"/>
    <w:rsid w:val="00993B2E"/>
    <w:rsid w:val="00993C77"/>
    <w:rsid w:val="009A4BBA"/>
    <w:rsid w:val="009B069F"/>
    <w:rsid w:val="009C2768"/>
    <w:rsid w:val="009E14BA"/>
    <w:rsid w:val="009F6FE5"/>
    <w:rsid w:val="00A01ECE"/>
    <w:rsid w:val="00A0511C"/>
    <w:rsid w:val="00A06F5F"/>
    <w:rsid w:val="00A143CF"/>
    <w:rsid w:val="00A1587B"/>
    <w:rsid w:val="00A33BB9"/>
    <w:rsid w:val="00A44193"/>
    <w:rsid w:val="00A47FB4"/>
    <w:rsid w:val="00A67566"/>
    <w:rsid w:val="00A67B49"/>
    <w:rsid w:val="00A76A7B"/>
    <w:rsid w:val="00A76AD8"/>
    <w:rsid w:val="00A860AE"/>
    <w:rsid w:val="00A87B56"/>
    <w:rsid w:val="00AA2749"/>
    <w:rsid w:val="00AB7B57"/>
    <w:rsid w:val="00AC468E"/>
    <w:rsid w:val="00AC5421"/>
    <w:rsid w:val="00AC705A"/>
    <w:rsid w:val="00AF680C"/>
    <w:rsid w:val="00AF729C"/>
    <w:rsid w:val="00B0655C"/>
    <w:rsid w:val="00B2570B"/>
    <w:rsid w:val="00B371DD"/>
    <w:rsid w:val="00B431D2"/>
    <w:rsid w:val="00B51E2B"/>
    <w:rsid w:val="00B57388"/>
    <w:rsid w:val="00B573C7"/>
    <w:rsid w:val="00B63BD0"/>
    <w:rsid w:val="00B716CC"/>
    <w:rsid w:val="00B77E8F"/>
    <w:rsid w:val="00B8658E"/>
    <w:rsid w:val="00B905E0"/>
    <w:rsid w:val="00B97F8A"/>
    <w:rsid w:val="00BA4344"/>
    <w:rsid w:val="00BC23D6"/>
    <w:rsid w:val="00BC3BEC"/>
    <w:rsid w:val="00BC5CD8"/>
    <w:rsid w:val="00BD767F"/>
    <w:rsid w:val="00BF0BEA"/>
    <w:rsid w:val="00C31A97"/>
    <w:rsid w:val="00C36FDF"/>
    <w:rsid w:val="00C40550"/>
    <w:rsid w:val="00C5236E"/>
    <w:rsid w:val="00C540B0"/>
    <w:rsid w:val="00C64DEE"/>
    <w:rsid w:val="00C65811"/>
    <w:rsid w:val="00C718C7"/>
    <w:rsid w:val="00C77CA4"/>
    <w:rsid w:val="00C80A5E"/>
    <w:rsid w:val="00C815CF"/>
    <w:rsid w:val="00C927CE"/>
    <w:rsid w:val="00CA00BF"/>
    <w:rsid w:val="00CA2289"/>
    <w:rsid w:val="00CC4933"/>
    <w:rsid w:val="00CD7358"/>
    <w:rsid w:val="00CE4E6A"/>
    <w:rsid w:val="00CF2CB9"/>
    <w:rsid w:val="00D04639"/>
    <w:rsid w:val="00D136D3"/>
    <w:rsid w:val="00D31D18"/>
    <w:rsid w:val="00D47490"/>
    <w:rsid w:val="00D5140C"/>
    <w:rsid w:val="00D567E5"/>
    <w:rsid w:val="00D87925"/>
    <w:rsid w:val="00D94618"/>
    <w:rsid w:val="00DA634F"/>
    <w:rsid w:val="00DA6C69"/>
    <w:rsid w:val="00DB07FE"/>
    <w:rsid w:val="00DB7B3B"/>
    <w:rsid w:val="00DC5845"/>
    <w:rsid w:val="00DC6F6A"/>
    <w:rsid w:val="00DD1E35"/>
    <w:rsid w:val="00DD29D5"/>
    <w:rsid w:val="00E025C7"/>
    <w:rsid w:val="00E0391B"/>
    <w:rsid w:val="00E07B77"/>
    <w:rsid w:val="00E169D0"/>
    <w:rsid w:val="00E2269E"/>
    <w:rsid w:val="00E45E03"/>
    <w:rsid w:val="00E50185"/>
    <w:rsid w:val="00E51F81"/>
    <w:rsid w:val="00E52ECA"/>
    <w:rsid w:val="00E579D9"/>
    <w:rsid w:val="00E70452"/>
    <w:rsid w:val="00E72B87"/>
    <w:rsid w:val="00E747F6"/>
    <w:rsid w:val="00E929D6"/>
    <w:rsid w:val="00EC388D"/>
    <w:rsid w:val="00EC7A29"/>
    <w:rsid w:val="00ED2ED5"/>
    <w:rsid w:val="00EE02E2"/>
    <w:rsid w:val="00EE1A69"/>
    <w:rsid w:val="00EE26E5"/>
    <w:rsid w:val="00F021B7"/>
    <w:rsid w:val="00F02584"/>
    <w:rsid w:val="00F3606C"/>
    <w:rsid w:val="00F41220"/>
    <w:rsid w:val="00F44488"/>
    <w:rsid w:val="00F52FBA"/>
    <w:rsid w:val="00F81BE0"/>
    <w:rsid w:val="00F87510"/>
    <w:rsid w:val="00F94357"/>
    <w:rsid w:val="00FB53E9"/>
    <w:rsid w:val="00FE75FF"/>
    <w:rsid w:val="00FF59C5"/>
    <w:rsid w:val="00FF7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468F"/>
  <w15:chartTrackingRefBased/>
  <w15:docId w15:val="{D35CD0BA-E0FD-4D1D-9FEA-6569A552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BCD"/>
    <w:rPr>
      <w14:ligatures w14:val="none"/>
    </w:rPr>
  </w:style>
  <w:style w:type="paragraph" w:styleId="Titolo1">
    <w:name w:val="heading 1"/>
    <w:basedOn w:val="Normale"/>
    <w:next w:val="Normale"/>
    <w:link w:val="Titolo1Carattere"/>
    <w:uiPriority w:val="9"/>
    <w:qFormat/>
    <w:rsid w:val="004B3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B3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B3BC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B3BC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B3BC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B3BC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3BC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3BC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3BC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3BC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B3BC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B3BC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B3BC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B3BC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B3B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3B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3B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3B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3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3B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3BC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3B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3BC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3BCD"/>
    <w:rPr>
      <w:i/>
      <w:iCs/>
      <w:color w:val="404040" w:themeColor="text1" w:themeTint="BF"/>
    </w:rPr>
  </w:style>
  <w:style w:type="paragraph" w:styleId="Paragrafoelenco">
    <w:name w:val="List Paragraph"/>
    <w:basedOn w:val="Normale"/>
    <w:uiPriority w:val="34"/>
    <w:qFormat/>
    <w:rsid w:val="004B3BCD"/>
    <w:pPr>
      <w:ind w:left="720"/>
      <w:contextualSpacing/>
    </w:pPr>
  </w:style>
  <w:style w:type="character" w:styleId="Enfasiintensa">
    <w:name w:val="Intense Emphasis"/>
    <w:basedOn w:val="Carpredefinitoparagrafo"/>
    <w:uiPriority w:val="21"/>
    <w:qFormat/>
    <w:rsid w:val="004B3BCD"/>
    <w:rPr>
      <w:i/>
      <w:iCs/>
      <w:color w:val="0F4761" w:themeColor="accent1" w:themeShade="BF"/>
    </w:rPr>
  </w:style>
  <w:style w:type="paragraph" w:styleId="Citazioneintensa">
    <w:name w:val="Intense Quote"/>
    <w:basedOn w:val="Normale"/>
    <w:next w:val="Normale"/>
    <w:link w:val="CitazioneintensaCarattere"/>
    <w:uiPriority w:val="30"/>
    <w:qFormat/>
    <w:rsid w:val="004B3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B3BCD"/>
    <w:rPr>
      <w:i/>
      <w:iCs/>
      <w:color w:val="0F4761" w:themeColor="accent1" w:themeShade="BF"/>
    </w:rPr>
  </w:style>
  <w:style w:type="character" w:styleId="Riferimentointenso">
    <w:name w:val="Intense Reference"/>
    <w:basedOn w:val="Carpredefinitoparagrafo"/>
    <w:uiPriority w:val="32"/>
    <w:qFormat/>
    <w:rsid w:val="004B3BCD"/>
    <w:rPr>
      <w:b/>
      <w:bCs/>
      <w:smallCaps/>
      <w:color w:val="0F4761" w:themeColor="accent1" w:themeShade="BF"/>
      <w:spacing w:val="5"/>
    </w:rPr>
  </w:style>
  <w:style w:type="paragraph" w:customStyle="1" w:styleId="xmsonormal">
    <w:name w:val="x_msonormal"/>
    <w:basedOn w:val="Normale"/>
    <w:rsid w:val="00E2269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semiHidden/>
    <w:unhideWhenUsed/>
    <w:rsid w:val="00A1587B"/>
    <w:rPr>
      <w:color w:val="0563C1"/>
      <w:u w:val="single"/>
    </w:rPr>
  </w:style>
  <w:style w:type="paragraph" w:customStyle="1" w:styleId="Default">
    <w:name w:val="Default"/>
    <w:rsid w:val="00190A8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eWeb">
    <w:name w:val="Normal (Web)"/>
    <w:basedOn w:val="Normale"/>
    <w:uiPriority w:val="99"/>
    <w:unhideWhenUsed/>
    <w:rsid w:val="00C77CA4"/>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paragraph">
    <w:name w:val="paragraph"/>
    <w:basedOn w:val="Normale"/>
    <w:rsid w:val="00C77CA4"/>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normaltextrun">
    <w:name w:val="normaltextrun"/>
    <w:basedOn w:val="Carpredefinitoparagrafo"/>
    <w:rsid w:val="00C77CA4"/>
  </w:style>
  <w:style w:type="paragraph" w:styleId="Intestazione">
    <w:name w:val="header"/>
    <w:basedOn w:val="Normale"/>
    <w:link w:val="IntestazioneCarattere"/>
    <w:uiPriority w:val="99"/>
    <w:unhideWhenUsed/>
    <w:rsid w:val="00307E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7E25"/>
    <w:rPr>
      <w14:ligatures w14:val="none"/>
    </w:rPr>
  </w:style>
  <w:style w:type="paragraph" w:styleId="Pidipagina">
    <w:name w:val="footer"/>
    <w:basedOn w:val="Normale"/>
    <w:link w:val="PidipaginaCarattere"/>
    <w:uiPriority w:val="99"/>
    <w:unhideWhenUsed/>
    <w:rsid w:val="00307E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7E2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0399">
      <w:bodyDiv w:val="1"/>
      <w:marLeft w:val="0"/>
      <w:marRight w:val="0"/>
      <w:marTop w:val="0"/>
      <w:marBottom w:val="0"/>
      <w:divBdr>
        <w:top w:val="none" w:sz="0" w:space="0" w:color="auto"/>
        <w:left w:val="none" w:sz="0" w:space="0" w:color="auto"/>
        <w:bottom w:val="none" w:sz="0" w:space="0" w:color="auto"/>
        <w:right w:val="none" w:sz="0" w:space="0" w:color="auto"/>
      </w:divBdr>
    </w:div>
    <w:div w:id="63065206">
      <w:bodyDiv w:val="1"/>
      <w:marLeft w:val="0"/>
      <w:marRight w:val="0"/>
      <w:marTop w:val="0"/>
      <w:marBottom w:val="0"/>
      <w:divBdr>
        <w:top w:val="none" w:sz="0" w:space="0" w:color="auto"/>
        <w:left w:val="none" w:sz="0" w:space="0" w:color="auto"/>
        <w:bottom w:val="none" w:sz="0" w:space="0" w:color="auto"/>
        <w:right w:val="none" w:sz="0" w:space="0" w:color="auto"/>
      </w:divBdr>
      <w:divsChild>
        <w:div w:id="1413426733">
          <w:marLeft w:val="0"/>
          <w:marRight w:val="0"/>
          <w:marTop w:val="60"/>
          <w:marBottom w:val="60"/>
          <w:divBdr>
            <w:top w:val="none" w:sz="0" w:space="0" w:color="auto"/>
            <w:left w:val="none" w:sz="0" w:space="0" w:color="auto"/>
            <w:bottom w:val="none" w:sz="0" w:space="0" w:color="auto"/>
            <w:right w:val="none" w:sz="0" w:space="0" w:color="auto"/>
          </w:divBdr>
        </w:div>
      </w:divsChild>
    </w:div>
    <w:div w:id="226186314">
      <w:bodyDiv w:val="1"/>
      <w:marLeft w:val="0"/>
      <w:marRight w:val="0"/>
      <w:marTop w:val="0"/>
      <w:marBottom w:val="0"/>
      <w:divBdr>
        <w:top w:val="none" w:sz="0" w:space="0" w:color="auto"/>
        <w:left w:val="none" w:sz="0" w:space="0" w:color="auto"/>
        <w:bottom w:val="none" w:sz="0" w:space="0" w:color="auto"/>
        <w:right w:val="none" w:sz="0" w:space="0" w:color="auto"/>
      </w:divBdr>
    </w:div>
    <w:div w:id="325206824">
      <w:bodyDiv w:val="1"/>
      <w:marLeft w:val="0"/>
      <w:marRight w:val="0"/>
      <w:marTop w:val="0"/>
      <w:marBottom w:val="0"/>
      <w:divBdr>
        <w:top w:val="none" w:sz="0" w:space="0" w:color="auto"/>
        <w:left w:val="none" w:sz="0" w:space="0" w:color="auto"/>
        <w:bottom w:val="none" w:sz="0" w:space="0" w:color="auto"/>
        <w:right w:val="none" w:sz="0" w:space="0" w:color="auto"/>
      </w:divBdr>
    </w:div>
    <w:div w:id="451556917">
      <w:bodyDiv w:val="1"/>
      <w:marLeft w:val="0"/>
      <w:marRight w:val="0"/>
      <w:marTop w:val="0"/>
      <w:marBottom w:val="0"/>
      <w:divBdr>
        <w:top w:val="none" w:sz="0" w:space="0" w:color="auto"/>
        <w:left w:val="none" w:sz="0" w:space="0" w:color="auto"/>
        <w:bottom w:val="none" w:sz="0" w:space="0" w:color="auto"/>
        <w:right w:val="none" w:sz="0" w:space="0" w:color="auto"/>
      </w:divBdr>
    </w:div>
    <w:div w:id="534804930">
      <w:bodyDiv w:val="1"/>
      <w:marLeft w:val="0"/>
      <w:marRight w:val="0"/>
      <w:marTop w:val="0"/>
      <w:marBottom w:val="0"/>
      <w:divBdr>
        <w:top w:val="none" w:sz="0" w:space="0" w:color="auto"/>
        <w:left w:val="none" w:sz="0" w:space="0" w:color="auto"/>
        <w:bottom w:val="none" w:sz="0" w:space="0" w:color="auto"/>
        <w:right w:val="none" w:sz="0" w:space="0" w:color="auto"/>
      </w:divBdr>
    </w:div>
    <w:div w:id="589311110">
      <w:bodyDiv w:val="1"/>
      <w:marLeft w:val="0"/>
      <w:marRight w:val="0"/>
      <w:marTop w:val="0"/>
      <w:marBottom w:val="0"/>
      <w:divBdr>
        <w:top w:val="none" w:sz="0" w:space="0" w:color="auto"/>
        <w:left w:val="none" w:sz="0" w:space="0" w:color="auto"/>
        <w:bottom w:val="none" w:sz="0" w:space="0" w:color="auto"/>
        <w:right w:val="none" w:sz="0" w:space="0" w:color="auto"/>
      </w:divBdr>
    </w:div>
    <w:div w:id="709646516">
      <w:bodyDiv w:val="1"/>
      <w:marLeft w:val="0"/>
      <w:marRight w:val="0"/>
      <w:marTop w:val="0"/>
      <w:marBottom w:val="0"/>
      <w:divBdr>
        <w:top w:val="none" w:sz="0" w:space="0" w:color="auto"/>
        <w:left w:val="none" w:sz="0" w:space="0" w:color="auto"/>
        <w:bottom w:val="none" w:sz="0" w:space="0" w:color="auto"/>
        <w:right w:val="none" w:sz="0" w:space="0" w:color="auto"/>
      </w:divBdr>
    </w:div>
    <w:div w:id="804734061">
      <w:bodyDiv w:val="1"/>
      <w:marLeft w:val="0"/>
      <w:marRight w:val="0"/>
      <w:marTop w:val="0"/>
      <w:marBottom w:val="0"/>
      <w:divBdr>
        <w:top w:val="none" w:sz="0" w:space="0" w:color="auto"/>
        <w:left w:val="none" w:sz="0" w:space="0" w:color="auto"/>
        <w:bottom w:val="none" w:sz="0" w:space="0" w:color="auto"/>
        <w:right w:val="none" w:sz="0" w:space="0" w:color="auto"/>
      </w:divBdr>
    </w:div>
    <w:div w:id="907691735">
      <w:bodyDiv w:val="1"/>
      <w:marLeft w:val="0"/>
      <w:marRight w:val="0"/>
      <w:marTop w:val="0"/>
      <w:marBottom w:val="0"/>
      <w:divBdr>
        <w:top w:val="none" w:sz="0" w:space="0" w:color="auto"/>
        <w:left w:val="none" w:sz="0" w:space="0" w:color="auto"/>
        <w:bottom w:val="none" w:sz="0" w:space="0" w:color="auto"/>
        <w:right w:val="none" w:sz="0" w:space="0" w:color="auto"/>
      </w:divBdr>
    </w:div>
    <w:div w:id="1034114494">
      <w:bodyDiv w:val="1"/>
      <w:marLeft w:val="0"/>
      <w:marRight w:val="0"/>
      <w:marTop w:val="0"/>
      <w:marBottom w:val="0"/>
      <w:divBdr>
        <w:top w:val="none" w:sz="0" w:space="0" w:color="auto"/>
        <w:left w:val="none" w:sz="0" w:space="0" w:color="auto"/>
        <w:bottom w:val="none" w:sz="0" w:space="0" w:color="auto"/>
        <w:right w:val="none" w:sz="0" w:space="0" w:color="auto"/>
      </w:divBdr>
    </w:div>
    <w:div w:id="1065420728">
      <w:bodyDiv w:val="1"/>
      <w:marLeft w:val="0"/>
      <w:marRight w:val="0"/>
      <w:marTop w:val="0"/>
      <w:marBottom w:val="0"/>
      <w:divBdr>
        <w:top w:val="none" w:sz="0" w:space="0" w:color="auto"/>
        <w:left w:val="none" w:sz="0" w:space="0" w:color="auto"/>
        <w:bottom w:val="none" w:sz="0" w:space="0" w:color="auto"/>
        <w:right w:val="none" w:sz="0" w:space="0" w:color="auto"/>
      </w:divBdr>
    </w:div>
    <w:div w:id="1099763979">
      <w:bodyDiv w:val="1"/>
      <w:marLeft w:val="0"/>
      <w:marRight w:val="0"/>
      <w:marTop w:val="0"/>
      <w:marBottom w:val="0"/>
      <w:divBdr>
        <w:top w:val="none" w:sz="0" w:space="0" w:color="auto"/>
        <w:left w:val="none" w:sz="0" w:space="0" w:color="auto"/>
        <w:bottom w:val="none" w:sz="0" w:space="0" w:color="auto"/>
        <w:right w:val="none" w:sz="0" w:space="0" w:color="auto"/>
      </w:divBdr>
    </w:div>
    <w:div w:id="1147405857">
      <w:bodyDiv w:val="1"/>
      <w:marLeft w:val="0"/>
      <w:marRight w:val="0"/>
      <w:marTop w:val="0"/>
      <w:marBottom w:val="0"/>
      <w:divBdr>
        <w:top w:val="none" w:sz="0" w:space="0" w:color="auto"/>
        <w:left w:val="none" w:sz="0" w:space="0" w:color="auto"/>
        <w:bottom w:val="none" w:sz="0" w:space="0" w:color="auto"/>
        <w:right w:val="none" w:sz="0" w:space="0" w:color="auto"/>
      </w:divBdr>
    </w:div>
    <w:div w:id="1273392677">
      <w:bodyDiv w:val="1"/>
      <w:marLeft w:val="0"/>
      <w:marRight w:val="0"/>
      <w:marTop w:val="0"/>
      <w:marBottom w:val="0"/>
      <w:divBdr>
        <w:top w:val="none" w:sz="0" w:space="0" w:color="auto"/>
        <w:left w:val="none" w:sz="0" w:space="0" w:color="auto"/>
        <w:bottom w:val="none" w:sz="0" w:space="0" w:color="auto"/>
        <w:right w:val="none" w:sz="0" w:space="0" w:color="auto"/>
      </w:divBdr>
    </w:div>
    <w:div w:id="1327393174">
      <w:bodyDiv w:val="1"/>
      <w:marLeft w:val="0"/>
      <w:marRight w:val="0"/>
      <w:marTop w:val="0"/>
      <w:marBottom w:val="0"/>
      <w:divBdr>
        <w:top w:val="none" w:sz="0" w:space="0" w:color="auto"/>
        <w:left w:val="none" w:sz="0" w:space="0" w:color="auto"/>
        <w:bottom w:val="none" w:sz="0" w:space="0" w:color="auto"/>
        <w:right w:val="none" w:sz="0" w:space="0" w:color="auto"/>
      </w:divBdr>
    </w:div>
    <w:div w:id="1940016852">
      <w:bodyDiv w:val="1"/>
      <w:marLeft w:val="0"/>
      <w:marRight w:val="0"/>
      <w:marTop w:val="0"/>
      <w:marBottom w:val="0"/>
      <w:divBdr>
        <w:top w:val="none" w:sz="0" w:space="0" w:color="auto"/>
        <w:left w:val="none" w:sz="0" w:space="0" w:color="auto"/>
        <w:bottom w:val="none" w:sz="0" w:space="0" w:color="auto"/>
        <w:right w:val="none" w:sz="0" w:space="0" w:color="auto"/>
      </w:divBdr>
    </w:div>
    <w:div w:id="19976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eli/id/1986/12/30/086U0910/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epa.wolterskluwer.it/normativa/10LX0000871587ART911?pathId=f737e30a201e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legge:2011-12-22;214" TargetMode="External"/><Relationship Id="rId5" Type="http://schemas.openxmlformats.org/officeDocument/2006/relationships/footnotes" Target="footnotes.xml"/><Relationship Id="rId10" Type="http://schemas.openxmlformats.org/officeDocument/2006/relationships/hyperlink" Target="https://www.normattiva.it/uri-res/N2Ls?urn:nir:stato:decreto.legge:2011-12-06;201"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16-08-19;175~art23bi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9388</Words>
  <Characters>53515</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Vitale</dc:creator>
  <cp:keywords/>
  <dc:description/>
  <cp:lastModifiedBy>DAGL</cp:lastModifiedBy>
  <cp:revision>171</cp:revision>
  <dcterms:created xsi:type="dcterms:W3CDTF">2024-06-21T14:04:00Z</dcterms:created>
  <dcterms:modified xsi:type="dcterms:W3CDTF">2024-06-24T09:30:00Z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2024-06-20T11:09:08Z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78dd29bb-3ffe-4569-b7e1-c24a884c2ffe</vt:lpwstr>
  </property>
  <property fmtid="{D5CDD505-2E9C-101B-9397-08002B2CF9AE}" pid="8" name="MSIP_Label_5097a60d-5525-435b-8989-8eb48ac0c8cd_ContentBits">
    <vt:lpwstr>0</vt:lpwstr>
  </property>
</Properties>
</file>