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1C9F" w14:textId="77777777" w:rsidR="00FA476C" w:rsidRPr="00FA476C" w:rsidRDefault="00721E35" w:rsidP="00FA476C">
      <w:pPr>
        <w:autoSpaceDE w:val="0"/>
        <w:autoSpaceDN w:val="0"/>
        <w:adjustRightInd w:val="0"/>
        <w:spacing w:beforeLines="120" w:before="288" w:after="0" w:line="240" w:lineRule="auto"/>
        <w:contextualSpacing/>
        <w:jc w:val="center"/>
        <w:rPr>
          <w:rFonts w:ascii="Calibri" w:hAnsi="Calibri" w:cs="Calibri"/>
          <w:b/>
          <w:bCs/>
          <w:i/>
          <w:iCs/>
          <w:kern w:val="0"/>
        </w:rPr>
      </w:pPr>
      <w:r w:rsidRPr="00FA476C">
        <w:rPr>
          <w:rFonts w:ascii="Calibri" w:hAnsi="Calibri" w:cs="Calibri"/>
          <w:b/>
          <w:bCs/>
          <w:kern w:val="0"/>
        </w:rPr>
        <w:t>RAPPORTO REGIONALE PMI 2023</w:t>
      </w:r>
      <w:r w:rsidR="00136008" w:rsidRPr="00FA476C">
        <w:rPr>
          <w:rFonts w:ascii="Calibri" w:hAnsi="Calibri" w:cs="Calibri"/>
          <w:b/>
          <w:bCs/>
          <w:kern w:val="0"/>
        </w:rPr>
        <w:t xml:space="preserve"> </w:t>
      </w:r>
      <w:r w:rsidR="00FA476C">
        <w:rPr>
          <w:rFonts w:ascii="Calibri" w:hAnsi="Calibri" w:cs="Calibri"/>
          <w:b/>
          <w:bCs/>
          <w:kern w:val="0"/>
        </w:rPr>
        <w:t xml:space="preserve">- </w:t>
      </w:r>
      <w:r w:rsidR="00FA476C" w:rsidRPr="00FA476C">
        <w:rPr>
          <w:rFonts w:ascii="Calibri" w:hAnsi="Calibri" w:cs="Calibri"/>
          <w:b/>
          <w:bCs/>
          <w:i/>
          <w:iCs/>
          <w:kern w:val="0"/>
        </w:rPr>
        <w:t>Sintesi Stampa</w:t>
      </w:r>
    </w:p>
    <w:p w14:paraId="554C6963" w14:textId="77777777" w:rsidR="006E2752" w:rsidRPr="00FA476C" w:rsidRDefault="006E2752" w:rsidP="003D46D0">
      <w:pPr>
        <w:autoSpaceDE w:val="0"/>
        <w:autoSpaceDN w:val="0"/>
        <w:adjustRightInd w:val="0"/>
        <w:spacing w:beforeLines="120" w:before="288" w:after="0" w:line="240" w:lineRule="auto"/>
        <w:contextualSpacing/>
        <w:jc w:val="center"/>
        <w:rPr>
          <w:rFonts w:ascii="Calibri" w:hAnsi="Calibri" w:cs="Calibri"/>
          <w:b/>
          <w:bCs/>
          <w:i/>
          <w:iCs/>
          <w:kern w:val="0"/>
        </w:rPr>
      </w:pPr>
    </w:p>
    <w:p w14:paraId="264BA66B" w14:textId="77777777" w:rsidR="00522649" w:rsidRPr="00FA476C" w:rsidRDefault="00522649" w:rsidP="00522649">
      <w:pPr>
        <w:autoSpaceDE w:val="0"/>
        <w:autoSpaceDN w:val="0"/>
        <w:adjustRightInd w:val="0"/>
        <w:spacing w:beforeLines="120" w:before="288" w:after="0" w:line="240" w:lineRule="auto"/>
        <w:contextualSpacing/>
        <w:jc w:val="both"/>
        <w:rPr>
          <w:rFonts w:ascii="Calibri" w:hAnsi="Calibri" w:cs="Calibri"/>
          <w:b/>
          <w:bCs/>
          <w:kern w:val="0"/>
        </w:rPr>
      </w:pPr>
      <w:r w:rsidRPr="00FA476C">
        <w:rPr>
          <w:rFonts w:ascii="Calibri" w:hAnsi="Calibri" w:cs="Calibri"/>
          <w:b/>
          <w:bCs/>
          <w:kern w:val="0"/>
        </w:rPr>
        <w:t>CONFINDUSTRIA-CERVED: LE PMI REGGONO AGLI SHOCK, PUR CON SEGNALI DI RALLENTAMENTO. PNRR FONDAMENTALE PER LA RIPRESA</w:t>
      </w:r>
    </w:p>
    <w:p w14:paraId="3F3C2F23" w14:textId="77777777" w:rsidR="00522649" w:rsidRPr="00FA476C" w:rsidRDefault="00522649" w:rsidP="00522649">
      <w:pPr>
        <w:autoSpaceDE w:val="0"/>
        <w:autoSpaceDN w:val="0"/>
        <w:adjustRightInd w:val="0"/>
        <w:spacing w:beforeLines="120" w:before="288" w:after="0" w:line="240" w:lineRule="auto"/>
        <w:contextualSpacing/>
        <w:jc w:val="both"/>
        <w:rPr>
          <w:rFonts w:ascii="Calibri" w:hAnsi="Calibri" w:cs="Calibri"/>
          <w:b/>
          <w:bCs/>
          <w:kern w:val="0"/>
        </w:rPr>
      </w:pPr>
      <w:r w:rsidRPr="00FA476C">
        <w:rPr>
          <w:rFonts w:ascii="Calibri" w:hAnsi="Calibri" w:cs="Calibri"/>
          <w:b/>
          <w:bCs/>
          <w:kern w:val="0"/>
        </w:rPr>
        <w:t xml:space="preserve">In crescita nel 2022 fatturato e valore aggiunto, pesa l’aumento del costo del debito </w:t>
      </w:r>
    </w:p>
    <w:p w14:paraId="029BAAA5" w14:textId="08A8D190" w:rsidR="00721E35" w:rsidRPr="00FA476C" w:rsidRDefault="00721E35" w:rsidP="00802D89">
      <w:pPr>
        <w:autoSpaceDE w:val="0"/>
        <w:autoSpaceDN w:val="0"/>
        <w:adjustRightInd w:val="0"/>
        <w:spacing w:beforeLines="120" w:before="288" w:after="0" w:line="240" w:lineRule="auto"/>
        <w:contextualSpacing/>
        <w:rPr>
          <w:rFonts w:ascii="Calibri" w:hAnsi="Calibri" w:cs="Calibri"/>
          <w:kern w:val="0"/>
        </w:rPr>
      </w:pPr>
    </w:p>
    <w:p w14:paraId="0FD5AF9C" w14:textId="55F389F3" w:rsidR="006A49C5" w:rsidRPr="00FA476C" w:rsidRDefault="00F566FB" w:rsidP="00DC2B22">
      <w:pPr>
        <w:autoSpaceDE w:val="0"/>
        <w:autoSpaceDN w:val="0"/>
        <w:adjustRightInd w:val="0"/>
        <w:spacing w:beforeLines="120" w:before="288" w:after="0" w:line="240" w:lineRule="auto"/>
        <w:contextualSpacing/>
        <w:jc w:val="both"/>
        <w:rPr>
          <w:rFonts w:ascii="Calibri" w:hAnsi="Calibri" w:cs="Calibri"/>
          <w:kern w:val="0"/>
        </w:rPr>
      </w:pPr>
      <w:r w:rsidRPr="00FA476C">
        <w:rPr>
          <w:rFonts w:ascii="Calibri" w:hAnsi="Calibri" w:cs="Calibri"/>
          <w:kern w:val="0"/>
        </w:rPr>
        <w:t>Il</w:t>
      </w:r>
      <w:r w:rsidR="006A49C5" w:rsidRPr="00FA476C">
        <w:rPr>
          <w:rFonts w:ascii="Calibri" w:hAnsi="Calibri" w:cs="Calibri"/>
          <w:kern w:val="0"/>
        </w:rPr>
        <w:t xml:space="preserve"> Rapporto </w:t>
      </w:r>
      <w:r w:rsidR="003E0A72" w:rsidRPr="00FA476C">
        <w:rPr>
          <w:rFonts w:ascii="Calibri" w:hAnsi="Calibri" w:cs="Calibri"/>
          <w:kern w:val="0"/>
        </w:rPr>
        <w:t>R</w:t>
      </w:r>
      <w:r w:rsidR="006A49C5" w:rsidRPr="00FA476C">
        <w:rPr>
          <w:rFonts w:ascii="Calibri" w:hAnsi="Calibri" w:cs="Calibri"/>
          <w:kern w:val="0"/>
        </w:rPr>
        <w:t>egionale</w:t>
      </w:r>
      <w:r w:rsidR="000449BA" w:rsidRPr="00FA476C">
        <w:rPr>
          <w:rFonts w:ascii="Calibri" w:hAnsi="Calibri" w:cs="Calibri"/>
          <w:kern w:val="0"/>
        </w:rPr>
        <w:t xml:space="preserve"> </w:t>
      </w:r>
      <w:r w:rsidR="00DD723E" w:rsidRPr="00FA476C">
        <w:rPr>
          <w:rFonts w:ascii="Calibri" w:hAnsi="Calibri" w:cs="Calibri"/>
          <w:kern w:val="0"/>
        </w:rPr>
        <w:t>PMI</w:t>
      </w:r>
      <w:r w:rsidR="003E0A72" w:rsidRPr="00FA476C">
        <w:rPr>
          <w:rFonts w:ascii="Calibri" w:hAnsi="Calibri" w:cs="Calibri"/>
          <w:kern w:val="0"/>
        </w:rPr>
        <w:t xml:space="preserve"> 2023</w:t>
      </w:r>
      <w:r w:rsidR="00DD723E" w:rsidRPr="00FA476C">
        <w:rPr>
          <w:rFonts w:ascii="Calibri" w:hAnsi="Calibri" w:cs="Calibri"/>
          <w:kern w:val="0"/>
        </w:rPr>
        <w:t xml:space="preserve">, realizzato </w:t>
      </w:r>
      <w:r w:rsidR="00346D01" w:rsidRPr="00FA476C">
        <w:rPr>
          <w:rFonts w:ascii="Calibri" w:hAnsi="Calibri" w:cs="Calibri"/>
          <w:kern w:val="0"/>
        </w:rPr>
        <w:t>da</w:t>
      </w:r>
      <w:r w:rsidRPr="00FA476C">
        <w:rPr>
          <w:rFonts w:ascii="Calibri" w:hAnsi="Calibri" w:cs="Calibri"/>
          <w:kern w:val="0"/>
        </w:rPr>
        <w:t xml:space="preserve"> Confindustria e Cerved</w:t>
      </w:r>
      <w:r w:rsidR="00346D01" w:rsidRPr="00FA476C">
        <w:rPr>
          <w:rFonts w:ascii="Calibri" w:hAnsi="Calibri" w:cs="Calibri"/>
          <w:kern w:val="0"/>
        </w:rPr>
        <w:t xml:space="preserve"> in collaborazione con UniCredit, </w:t>
      </w:r>
      <w:r w:rsidR="008F7DC3" w:rsidRPr="00FA476C">
        <w:rPr>
          <w:rFonts w:ascii="Calibri" w:hAnsi="Calibri" w:cs="Calibri"/>
          <w:kern w:val="0"/>
        </w:rPr>
        <w:t xml:space="preserve">approfondisce la struttura e </w:t>
      </w:r>
      <w:r w:rsidR="00DD723E" w:rsidRPr="00FA476C">
        <w:rPr>
          <w:rFonts w:ascii="Calibri" w:hAnsi="Calibri" w:cs="Calibri"/>
          <w:kern w:val="0"/>
        </w:rPr>
        <w:t>l’evoluzione dello stato di salute delle piccole e medie imprese italiane da</w:t>
      </w:r>
      <w:r w:rsidR="007F1708" w:rsidRPr="00FA476C">
        <w:rPr>
          <w:rFonts w:ascii="Calibri" w:hAnsi="Calibri" w:cs="Calibri"/>
          <w:kern w:val="0"/>
        </w:rPr>
        <w:t xml:space="preserve"> una prospettiva territoriale.</w:t>
      </w:r>
      <w:r w:rsidR="008F7DC3" w:rsidRPr="00FA476C">
        <w:rPr>
          <w:rFonts w:ascii="Calibri" w:hAnsi="Calibri" w:cs="Calibri"/>
          <w:kern w:val="0"/>
        </w:rPr>
        <w:t xml:space="preserve"> </w:t>
      </w:r>
      <w:r w:rsidR="007F1708" w:rsidRPr="00FA476C">
        <w:rPr>
          <w:rFonts w:ascii="Calibri" w:hAnsi="Calibri" w:cs="Calibri"/>
          <w:kern w:val="0"/>
        </w:rPr>
        <w:t xml:space="preserve">Il </w:t>
      </w:r>
      <w:r w:rsidR="00455E0F" w:rsidRPr="00FA476C">
        <w:rPr>
          <w:rFonts w:ascii="Calibri" w:hAnsi="Calibri" w:cs="Calibri"/>
          <w:kern w:val="0"/>
        </w:rPr>
        <w:t xml:space="preserve">rapporto analizza i conti economici delle </w:t>
      </w:r>
      <w:r w:rsidR="003E0A72" w:rsidRPr="00FA476C">
        <w:rPr>
          <w:rFonts w:ascii="Calibri" w:hAnsi="Calibri" w:cs="Calibri"/>
          <w:kern w:val="0"/>
        </w:rPr>
        <w:t>circa 160m</w:t>
      </w:r>
      <w:r w:rsidR="00455E0F" w:rsidRPr="00FA476C">
        <w:rPr>
          <w:rFonts w:ascii="Calibri" w:hAnsi="Calibri" w:cs="Calibri"/>
          <w:kern w:val="0"/>
        </w:rPr>
        <w:t xml:space="preserve">ila PMI italiane, </w:t>
      </w:r>
      <w:r w:rsidR="008F7DC3" w:rsidRPr="00FA476C">
        <w:rPr>
          <w:rFonts w:ascii="Calibri" w:hAnsi="Calibri" w:cs="Calibri"/>
          <w:kern w:val="0"/>
        </w:rPr>
        <w:t xml:space="preserve">basandosi sui dati </w:t>
      </w:r>
      <w:r w:rsidR="00455E0F" w:rsidRPr="00FA476C">
        <w:rPr>
          <w:rFonts w:ascii="Calibri" w:hAnsi="Calibri" w:cs="Calibri"/>
          <w:kern w:val="0"/>
        </w:rPr>
        <w:t xml:space="preserve">di consuntivo del </w:t>
      </w:r>
      <w:r w:rsidR="005844D6" w:rsidRPr="00FA476C">
        <w:rPr>
          <w:rFonts w:ascii="Calibri" w:hAnsi="Calibri" w:cs="Calibri"/>
          <w:kern w:val="0"/>
        </w:rPr>
        <w:t xml:space="preserve">bilancio </w:t>
      </w:r>
      <w:r w:rsidR="00455E0F" w:rsidRPr="00FA476C">
        <w:rPr>
          <w:rFonts w:ascii="Calibri" w:hAnsi="Calibri" w:cs="Calibri"/>
          <w:kern w:val="0"/>
        </w:rPr>
        <w:t xml:space="preserve">2021 e </w:t>
      </w:r>
      <w:r w:rsidR="008F7DC3" w:rsidRPr="00FA476C">
        <w:rPr>
          <w:rFonts w:ascii="Calibri" w:hAnsi="Calibri" w:cs="Calibri"/>
          <w:kern w:val="0"/>
        </w:rPr>
        <w:t xml:space="preserve">offrendo </w:t>
      </w:r>
      <w:r w:rsidR="00455E0F" w:rsidRPr="00FA476C">
        <w:rPr>
          <w:rFonts w:ascii="Calibri" w:hAnsi="Calibri" w:cs="Calibri"/>
          <w:kern w:val="0"/>
        </w:rPr>
        <w:t>stime per il 2022</w:t>
      </w:r>
      <w:r w:rsidR="00E32D5D" w:rsidRPr="00FA476C">
        <w:rPr>
          <w:rFonts w:ascii="Calibri" w:hAnsi="Calibri" w:cs="Calibri"/>
          <w:kern w:val="0"/>
        </w:rPr>
        <w:t>,</w:t>
      </w:r>
      <w:r w:rsidR="00455E0F" w:rsidRPr="00FA476C">
        <w:rPr>
          <w:rFonts w:ascii="Calibri" w:hAnsi="Calibri" w:cs="Calibri"/>
          <w:kern w:val="0"/>
        </w:rPr>
        <w:t xml:space="preserve"> </w:t>
      </w:r>
      <w:r w:rsidR="008F7DC3" w:rsidRPr="00FA476C">
        <w:rPr>
          <w:rFonts w:ascii="Calibri" w:hAnsi="Calibri" w:cs="Calibri"/>
          <w:kern w:val="0"/>
        </w:rPr>
        <w:t xml:space="preserve">attraverso </w:t>
      </w:r>
      <w:r w:rsidR="00455E0F" w:rsidRPr="00FA476C">
        <w:rPr>
          <w:rFonts w:ascii="Calibri" w:hAnsi="Calibri" w:cs="Calibri"/>
          <w:kern w:val="0"/>
        </w:rPr>
        <w:t>i modelli predittivi economico-finanziari di Cerved.</w:t>
      </w:r>
    </w:p>
    <w:p w14:paraId="738270CF" w14:textId="77777777" w:rsidR="00455E0F" w:rsidRPr="00FA476C" w:rsidRDefault="00455E0F" w:rsidP="00DC2B22">
      <w:pPr>
        <w:autoSpaceDE w:val="0"/>
        <w:autoSpaceDN w:val="0"/>
        <w:adjustRightInd w:val="0"/>
        <w:spacing w:beforeLines="120" w:before="288" w:after="0" w:line="240" w:lineRule="auto"/>
        <w:contextualSpacing/>
        <w:jc w:val="both"/>
        <w:rPr>
          <w:rFonts w:ascii="Calibri" w:hAnsi="Calibri" w:cs="Calibri"/>
          <w:kern w:val="0"/>
        </w:rPr>
      </w:pPr>
    </w:p>
    <w:p w14:paraId="38736BEA" w14:textId="369B5F5C" w:rsidR="005430AE" w:rsidRPr="00FA476C" w:rsidRDefault="00FC7D26" w:rsidP="00DC2B22">
      <w:pPr>
        <w:autoSpaceDE w:val="0"/>
        <w:autoSpaceDN w:val="0"/>
        <w:adjustRightInd w:val="0"/>
        <w:spacing w:beforeLines="120" w:before="288" w:after="0" w:line="240" w:lineRule="auto"/>
        <w:contextualSpacing/>
        <w:jc w:val="both"/>
        <w:rPr>
          <w:rFonts w:ascii="Calibri" w:hAnsi="Calibri" w:cs="Calibri"/>
          <w:b/>
          <w:bCs/>
          <w:kern w:val="0"/>
        </w:rPr>
      </w:pPr>
      <w:r w:rsidRPr="00FA476C">
        <w:rPr>
          <w:rFonts w:ascii="Calibri" w:hAnsi="Calibri" w:cs="Calibri"/>
          <w:kern w:val="0"/>
        </w:rPr>
        <w:t xml:space="preserve">I dati </w:t>
      </w:r>
      <w:r w:rsidR="005001AB" w:rsidRPr="00FA476C">
        <w:rPr>
          <w:rFonts w:ascii="Calibri" w:hAnsi="Calibri" w:cs="Calibri"/>
          <w:kern w:val="0"/>
        </w:rPr>
        <w:t>mettono in evidenza</w:t>
      </w:r>
      <w:r w:rsidRPr="00FA476C">
        <w:rPr>
          <w:rFonts w:ascii="Calibri" w:hAnsi="Calibri" w:cs="Calibri"/>
          <w:kern w:val="0"/>
        </w:rPr>
        <w:t xml:space="preserve"> </w:t>
      </w:r>
      <w:r w:rsidR="005001AB" w:rsidRPr="00FA476C">
        <w:rPr>
          <w:rFonts w:ascii="Calibri" w:hAnsi="Calibri" w:cs="Calibri"/>
          <w:kern w:val="0"/>
        </w:rPr>
        <w:t xml:space="preserve">i diversi impatti sui sistemi di PMI territoriali </w:t>
      </w:r>
      <w:r w:rsidR="00953DF6" w:rsidRPr="00FA476C">
        <w:rPr>
          <w:rFonts w:ascii="Calibri" w:hAnsi="Calibri" w:cs="Calibri"/>
          <w:kern w:val="0"/>
        </w:rPr>
        <w:t xml:space="preserve">degli </w:t>
      </w:r>
      <w:r w:rsidR="0015701E" w:rsidRPr="00FA476C">
        <w:rPr>
          <w:rFonts w:ascii="Calibri" w:hAnsi="Calibri" w:cs="Calibri"/>
          <w:kern w:val="0"/>
        </w:rPr>
        <w:t xml:space="preserve">shock sequenziali che </w:t>
      </w:r>
      <w:r w:rsidR="005001AB" w:rsidRPr="00FA476C">
        <w:rPr>
          <w:rFonts w:ascii="Calibri" w:hAnsi="Calibri" w:cs="Calibri"/>
          <w:kern w:val="0"/>
        </w:rPr>
        <w:t xml:space="preserve">negli ultimi anni </w:t>
      </w:r>
      <w:r w:rsidR="0015701E" w:rsidRPr="00FA476C">
        <w:rPr>
          <w:rFonts w:ascii="Calibri" w:hAnsi="Calibri" w:cs="Calibri"/>
          <w:kern w:val="0"/>
        </w:rPr>
        <w:t xml:space="preserve">hanno colpito </w:t>
      </w:r>
      <w:r w:rsidR="0040598E" w:rsidRPr="00FA476C">
        <w:rPr>
          <w:rFonts w:ascii="Calibri" w:hAnsi="Calibri" w:cs="Calibri"/>
          <w:kern w:val="0"/>
        </w:rPr>
        <w:t>il nostro sistema</w:t>
      </w:r>
      <w:r w:rsidR="005001AB" w:rsidRPr="00FA476C">
        <w:rPr>
          <w:rFonts w:ascii="Calibri" w:hAnsi="Calibri" w:cs="Calibri"/>
          <w:kern w:val="0"/>
        </w:rPr>
        <w:t xml:space="preserve"> economico</w:t>
      </w:r>
      <w:r w:rsidR="001416E8" w:rsidRPr="00FA476C">
        <w:rPr>
          <w:rFonts w:ascii="Calibri" w:hAnsi="Calibri" w:cs="Calibri"/>
          <w:kern w:val="0"/>
        </w:rPr>
        <w:t>.</w:t>
      </w:r>
      <w:r w:rsidR="008845A5" w:rsidRPr="00FA476C">
        <w:rPr>
          <w:rFonts w:ascii="Calibri" w:hAnsi="Calibri" w:cs="Calibri"/>
          <w:kern w:val="0"/>
        </w:rPr>
        <w:t xml:space="preserve"> </w:t>
      </w:r>
      <w:r w:rsidR="006B350C" w:rsidRPr="00FA476C">
        <w:rPr>
          <w:rFonts w:ascii="Calibri" w:hAnsi="Calibri" w:cs="Calibri"/>
          <w:b/>
          <w:bCs/>
          <w:kern w:val="0"/>
        </w:rPr>
        <w:t xml:space="preserve">Sul fronte dei conti economici si </w:t>
      </w:r>
      <w:r w:rsidR="000F6163" w:rsidRPr="00FA476C">
        <w:rPr>
          <w:rFonts w:ascii="Calibri" w:hAnsi="Calibri" w:cs="Calibri"/>
          <w:b/>
          <w:bCs/>
          <w:kern w:val="0"/>
        </w:rPr>
        <w:t>stima</w:t>
      </w:r>
      <w:r w:rsidR="006B350C" w:rsidRPr="00FA476C">
        <w:rPr>
          <w:rFonts w:ascii="Calibri" w:hAnsi="Calibri" w:cs="Calibri"/>
          <w:b/>
          <w:bCs/>
          <w:kern w:val="0"/>
        </w:rPr>
        <w:t xml:space="preserve"> una sostanziale tenuta di fatturato (</w:t>
      </w:r>
      <w:r w:rsidR="004056E4" w:rsidRPr="00FA476C">
        <w:rPr>
          <w:rFonts w:ascii="Calibri" w:hAnsi="Calibri" w:cs="Calibri"/>
          <w:b/>
          <w:bCs/>
          <w:kern w:val="0"/>
        </w:rPr>
        <w:t>+2</w:t>
      </w:r>
      <w:r w:rsidR="003E0A72" w:rsidRPr="00FA476C">
        <w:rPr>
          <w:rFonts w:ascii="Calibri" w:hAnsi="Calibri" w:cs="Calibri"/>
          <w:b/>
          <w:bCs/>
          <w:kern w:val="0"/>
        </w:rPr>
        <w:t>,</w:t>
      </w:r>
      <w:r w:rsidR="004056E4" w:rsidRPr="00FA476C">
        <w:rPr>
          <w:rFonts w:ascii="Calibri" w:hAnsi="Calibri" w:cs="Calibri"/>
          <w:b/>
          <w:bCs/>
          <w:kern w:val="0"/>
        </w:rPr>
        <w:t>4%</w:t>
      </w:r>
      <w:r w:rsidR="006B350C" w:rsidRPr="00FA476C">
        <w:rPr>
          <w:rFonts w:ascii="Calibri" w:hAnsi="Calibri" w:cs="Calibri"/>
          <w:b/>
          <w:bCs/>
          <w:kern w:val="0"/>
        </w:rPr>
        <w:t>), valore aggiunto (</w:t>
      </w:r>
      <w:r w:rsidR="00037671" w:rsidRPr="00FA476C">
        <w:rPr>
          <w:rFonts w:ascii="Calibri" w:hAnsi="Calibri" w:cs="Calibri"/>
          <w:b/>
          <w:bCs/>
          <w:kern w:val="0"/>
        </w:rPr>
        <w:t>+1</w:t>
      </w:r>
      <w:r w:rsidR="003E0A72" w:rsidRPr="00FA476C">
        <w:rPr>
          <w:rFonts w:ascii="Calibri" w:hAnsi="Calibri" w:cs="Calibri"/>
          <w:b/>
          <w:bCs/>
          <w:kern w:val="0"/>
        </w:rPr>
        <w:t>,</w:t>
      </w:r>
      <w:r w:rsidR="00037671" w:rsidRPr="00FA476C">
        <w:rPr>
          <w:rFonts w:ascii="Calibri" w:hAnsi="Calibri" w:cs="Calibri"/>
          <w:b/>
          <w:bCs/>
          <w:kern w:val="0"/>
        </w:rPr>
        <w:t>4%</w:t>
      </w:r>
      <w:r w:rsidR="006B350C" w:rsidRPr="00FA476C">
        <w:rPr>
          <w:rFonts w:ascii="Calibri" w:hAnsi="Calibri" w:cs="Calibri"/>
          <w:b/>
          <w:bCs/>
          <w:kern w:val="0"/>
        </w:rPr>
        <w:t xml:space="preserve">) e </w:t>
      </w:r>
      <w:r w:rsidR="003E0A72" w:rsidRPr="00FA476C">
        <w:rPr>
          <w:rFonts w:ascii="Calibri" w:hAnsi="Calibri" w:cs="Calibri"/>
          <w:b/>
          <w:bCs/>
          <w:kern w:val="0"/>
        </w:rPr>
        <w:t>MOL</w:t>
      </w:r>
      <w:r w:rsidR="006B350C" w:rsidRPr="00FA476C">
        <w:rPr>
          <w:rFonts w:ascii="Calibri" w:hAnsi="Calibri" w:cs="Calibri"/>
          <w:b/>
          <w:bCs/>
          <w:kern w:val="0"/>
        </w:rPr>
        <w:t xml:space="preserve"> (</w:t>
      </w:r>
      <w:r w:rsidR="00C12D5C" w:rsidRPr="00FA476C">
        <w:rPr>
          <w:rFonts w:ascii="Calibri" w:hAnsi="Calibri" w:cs="Calibri"/>
          <w:b/>
          <w:bCs/>
          <w:kern w:val="0"/>
        </w:rPr>
        <w:t>+2</w:t>
      </w:r>
      <w:r w:rsidR="003E0A72" w:rsidRPr="00FA476C">
        <w:rPr>
          <w:rFonts w:ascii="Calibri" w:hAnsi="Calibri" w:cs="Calibri"/>
          <w:b/>
          <w:bCs/>
          <w:kern w:val="0"/>
        </w:rPr>
        <w:t>,</w:t>
      </w:r>
      <w:r w:rsidR="00C12D5C" w:rsidRPr="00FA476C">
        <w:rPr>
          <w:rFonts w:ascii="Calibri" w:hAnsi="Calibri" w:cs="Calibri"/>
          <w:b/>
          <w:bCs/>
          <w:kern w:val="0"/>
        </w:rPr>
        <w:t>9%</w:t>
      </w:r>
      <w:r w:rsidR="006B350C" w:rsidRPr="00FA476C">
        <w:rPr>
          <w:rFonts w:ascii="Calibri" w:hAnsi="Calibri" w:cs="Calibri"/>
          <w:b/>
          <w:bCs/>
          <w:kern w:val="0"/>
        </w:rPr>
        <w:t>)</w:t>
      </w:r>
      <w:r w:rsidR="00F34B2E" w:rsidRPr="00FA476C">
        <w:rPr>
          <w:rFonts w:ascii="Calibri" w:hAnsi="Calibri" w:cs="Calibri"/>
          <w:b/>
          <w:bCs/>
          <w:kern w:val="0"/>
        </w:rPr>
        <w:t>, che recuperano i livelli del 2019</w:t>
      </w:r>
      <w:r w:rsidR="00F34B2E" w:rsidRPr="00FA476C">
        <w:rPr>
          <w:rFonts w:ascii="Calibri" w:hAnsi="Calibri" w:cs="Calibri"/>
          <w:kern w:val="0"/>
        </w:rPr>
        <w:t xml:space="preserve"> </w:t>
      </w:r>
      <w:r w:rsidR="001B23A8" w:rsidRPr="00FA476C">
        <w:rPr>
          <w:rFonts w:ascii="Calibri" w:hAnsi="Calibri" w:cs="Calibri"/>
          <w:kern w:val="0"/>
        </w:rPr>
        <w:t>(</w:t>
      </w:r>
      <w:r w:rsidR="0094271B" w:rsidRPr="00FA476C">
        <w:rPr>
          <w:rFonts w:ascii="Calibri" w:hAnsi="Calibri" w:cs="Calibri"/>
          <w:kern w:val="0"/>
        </w:rPr>
        <w:t xml:space="preserve">rispettivamente </w:t>
      </w:r>
      <w:r w:rsidR="0041465A" w:rsidRPr="00FA476C">
        <w:rPr>
          <w:rFonts w:ascii="Calibri" w:hAnsi="Calibri" w:cs="Calibri"/>
          <w:kern w:val="0"/>
        </w:rPr>
        <w:t>+9</w:t>
      </w:r>
      <w:r w:rsidR="003E0A72" w:rsidRPr="00FA476C">
        <w:rPr>
          <w:rFonts w:ascii="Calibri" w:hAnsi="Calibri" w:cs="Calibri"/>
          <w:kern w:val="0"/>
        </w:rPr>
        <w:t>,1</w:t>
      </w:r>
      <w:r w:rsidR="0041465A" w:rsidRPr="00FA476C">
        <w:rPr>
          <w:rFonts w:ascii="Calibri" w:hAnsi="Calibri" w:cs="Calibri"/>
          <w:kern w:val="0"/>
        </w:rPr>
        <w:t xml:space="preserve">%, </w:t>
      </w:r>
      <w:r w:rsidR="00CA4BE5" w:rsidRPr="00FA476C">
        <w:rPr>
          <w:rFonts w:ascii="Calibri" w:hAnsi="Calibri" w:cs="Calibri"/>
          <w:kern w:val="0"/>
        </w:rPr>
        <w:t>+8</w:t>
      </w:r>
      <w:r w:rsidR="003E0A72" w:rsidRPr="00FA476C">
        <w:rPr>
          <w:rFonts w:ascii="Calibri" w:hAnsi="Calibri" w:cs="Calibri"/>
          <w:kern w:val="0"/>
        </w:rPr>
        <w:t>,</w:t>
      </w:r>
      <w:r w:rsidR="00CA4BE5" w:rsidRPr="00FA476C">
        <w:rPr>
          <w:rFonts w:ascii="Calibri" w:hAnsi="Calibri" w:cs="Calibri"/>
          <w:kern w:val="0"/>
        </w:rPr>
        <w:t xml:space="preserve">7% e </w:t>
      </w:r>
      <w:r w:rsidR="00CE5CC2" w:rsidRPr="00FA476C">
        <w:rPr>
          <w:rFonts w:ascii="Calibri" w:hAnsi="Calibri" w:cs="Calibri"/>
          <w:kern w:val="0"/>
        </w:rPr>
        <w:t>+14</w:t>
      </w:r>
      <w:r w:rsidR="003E0A72" w:rsidRPr="00FA476C">
        <w:rPr>
          <w:rFonts w:ascii="Calibri" w:hAnsi="Calibri" w:cs="Calibri"/>
          <w:kern w:val="0"/>
        </w:rPr>
        <w:t>,</w:t>
      </w:r>
      <w:r w:rsidR="00CE5CC2" w:rsidRPr="00FA476C">
        <w:rPr>
          <w:rFonts w:ascii="Calibri" w:hAnsi="Calibri" w:cs="Calibri"/>
          <w:kern w:val="0"/>
        </w:rPr>
        <w:t>9%</w:t>
      </w:r>
      <w:r w:rsidR="001B23A8" w:rsidRPr="00FA476C">
        <w:rPr>
          <w:rFonts w:ascii="Calibri" w:hAnsi="Calibri" w:cs="Calibri"/>
          <w:kern w:val="0"/>
        </w:rPr>
        <w:t>)</w:t>
      </w:r>
      <w:r w:rsidR="00275787" w:rsidRPr="00FA476C">
        <w:rPr>
          <w:rFonts w:ascii="Calibri" w:hAnsi="Calibri" w:cs="Calibri"/>
          <w:kern w:val="0"/>
        </w:rPr>
        <w:t>.</w:t>
      </w:r>
      <w:r w:rsidR="00AA4966" w:rsidRPr="00FA476C">
        <w:rPr>
          <w:rFonts w:ascii="Calibri" w:hAnsi="Calibri" w:cs="Calibri"/>
          <w:kern w:val="0"/>
        </w:rPr>
        <w:t>.</w:t>
      </w:r>
      <w:r w:rsidR="00331BB9" w:rsidRPr="00FA476C">
        <w:rPr>
          <w:rFonts w:ascii="Calibri" w:hAnsi="Calibri" w:cs="Calibri"/>
          <w:kern w:val="0"/>
        </w:rPr>
        <w:t xml:space="preserve"> </w:t>
      </w:r>
      <w:r w:rsidR="00A56D0F" w:rsidRPr="00FA476C">
        <w:rPr>
          <w:rFonts w:ascii="Calibri" w:hAnsi="Calibri" w:cs="Calibri"/>
          <w:kern w:val="0"/>
        </w:rPr>
        <w:t xml:space="preserve">Questi indicatori </w:t>
      </w:r>
      <w:r w:rsidR="00E93B69" w:rsidRPr="00FA476C">
        <w:rPr>
          <w:rFonts w:ascii="Calibri" w:hAnsi="Calibri" w:cs="Calibri"/>
          <w:kern w:val="0"/>
        </w:rPr>
        <w:t xml:space="preserve">sono </w:t>
      </w:r>
      <w:r w:rsidR="00F805DC" w:rsidRPr="00FA476C">
        <w:rPr>
          <w:rFonts w:ascii="Calibri" w:hAnsi="Calibri" w:cs="Calibri"/>
          <w:kern w:val="0"/>
        </w:rPr>
        <w:t>accompagnat</w:t>
      </w:r>
      <w:r w:rsidR="00A56D0F" w:rsidRPr="00FA476C">
        <w:rPr>
          <w:rFonts w:ascii="Calibri" w:hAnsi="Calibri" w:cs="Calibri"/>
          <w:kern w:val="0"/>
        </w:rPr>
        <w:t>i</w:t>
      </w:r>
      <w:r w:rsidR="00F805DC" w:rsidRPr="00FA476C">
        <w:rPr>
          <w:rFonts w:ascii="Calibri" w:hAnsi="Calibri" w:cs="Calibri"/>
          <w:kern w:val="0"/>
        </w:rPr>
        <w:t xml:space="preserve"> da </w:t>
      </w:r>
      <w:r w:rsidR="007B0EBE" w:rsidRPr="00FA476C">
        <w:rPr>
          <w:rFonts w:ascii="Calibri" w:hAnsi="Calibri" w:cs="Calibri"/>
          <w:b/>
          <w:bCs/>
          <w:kern w:val="0"/>
        </w:rPr>
        <w:t>evidenze</w:t>
      </w:r>
      <w:r w:rsidR="00F805DC" w:rsidRPr="00FA476C">
        <w:rPr>
          <w:rFonts w:ascii="Calibri" w:hAnsi="Calibri" w:cs="Calibri"/>
          <w:b/>
          <w:bCs/>
          <w:kern w:val="0"/>
        </w:rPr>
        <w:t xml:space="preserve"> meno incoraggianti</w:t>
      </w:r>
      <w:r w:rsidR="00E32D5D" w:rsidRPr="00FA476C">
        <w:rPr>
          <w:rFonts w:ascii="Calibri" w:hAnsi="Calibri" w:cs="Calibri"/>
          <w:b/>
          <w:bCs/>
          <w:kern w:val="0"/>
        </w:rPr>
        <w:t>,</w:t>
      </w:r>
      <w:r w:rsidR="00F805DC" w:rsidRPr="00FA476C">
        <w:rPr>
          <w:rFonts w:ascii="Calibri" w:hAnsi="Calibri" w:cs="Calibri"/>
          <w:b/>
          <w:bCs/>
          <w:kern w:val="0"/>
        </w:rPr>
        <w:t xml:space="preserve"> che suggeriscono una possibile inversione di tendenza</w:t>
      </w:r>
      <w:r w:rsidR="00A56D0F" w:rsidRPr="00FA476C">
        <w:rPr>
          <w:rFonts w:ascii="Calibri" w:hAnsi="Calibri" w:cs="Calibri"/>
          <w:b/>
          <w:bCs/>
          <w:kern w:val="0"/>
        </w:rPr>
        <w:t xml:space="preserve"> nel prossimo biennio</w:t>
      </w:r>
      <w:r w:rsidR="00D35369" w:rsidRPr="00FA476C">
        <w:rPr>
          <w:rFonts w:ascii="Calibri" w:hAnsi="Calibri" w:cs="Calibri"/>
          <w:kern w:val="0"/>
        </w:rPr>
        <w:t xml:space="preserve">. </w:t>
      </w:r>
      <w:r w:rsidR="002776F8" w:rsidRPr="00FA476C">
        <w:rPr>
          <w:rFonts w:ascii="Calibri" w:hAnsi="Calibri" w:cs="Calibri"/>
          <w:b/>
          <w:bCs/>
          <w:kern w:val="0"/>
        </w:rPr>
        <w:t>I</w:t>
      </w:r>
      <w:r w:rsidR="007B0EBE" w:rsidRPr="00FA476C">
        <w:rPr>
          <w:rFonts w:ascii="Calibri" w:hAnsi="Calibri" w:cs="Calibri"/>
          <w:b/>
          <w:bCs/>
          <w:kern w:val="0"/>
        </w:rPr>
        <w:t xml:space="preserve"> segnali di</w:t>
      </w:r>
      <w:r w:rsidR="00220BD9" w:rsidRPr="00FA476C">
        <w:rPr>
          <w:rFonts w:ascii="Calibri" w:hAnsi="Calibri" w:cs="Calibri"/>
          <w:b/>
          <w:bCs/>
          <w:kern w:val="0"/>
        </w:rPr>
        <w:t xml:space="preserve"> </w:t>
      </w:r>
      <w:r w:rsidR="00D35369" w:rsidRPr="00FA476C">
        <w:rPr>
          <w:rFonts w:ascii="Calibri" w:hAnsi="Calibri" w:cs="Calibri"/>
          <w:b/>
          <w:bCs/>
          <w:kern w:val="0"/>
        </w:rPr>
        <w:t>rallentamento</w:t>
      </w:r>
      <w:r w:rsidR="002F1B8E" w:rsidRPr="00FA476C">
        <w:rPr>
          <w:rFonts w:ascii="Calibri" w:hAnsi="Calibri" w:cs="Calibri"/>
          <w:b/>
          <w:bCs/>
          <w:kern w:val="0"/>
        </w:rPr>
        <w:t xml:space="preserve"> </w:t>
      </w:r>
      <w:r w:rsidR="007B0EBE" w:rsidRPr="00FA476C">
        <w:rPr>
          <w:rFonts w:ascii="Calibri" w:hAnsi="Calibri" w:cs="Calibri"/>
          <w:b/>
          <w:bCs/>
          <w:kern w:val="0"/>
        </w:rPr>
        <w:t>sono</w:t>
      </w:r>
      <w:r w:rsidR="0085486B" w:rsidRPr="00FA476C">
        <w:rPr>
          <w:rFonts w:ascii="Calibri" w:hAnsi="Calibri" w:cs="Calibri"/>
          <w:b/>
          <w:bCs/>
          <w:kern w:val="0"/>
        </w:rPr>
        <w:t xml:space="preserve"> </w:t>
      </w:r>
      <w:r w:rsidR="00E32D5D" w:rsidRPr="00FA476C">
        <w:rPr>
          <w:rFonts w:ascii="Calibri" w:hAnsi="Calibri" w:cs="Calibri"/>
          <w:b/>
          <w:bCs/>
          <w:kern w:val="0"/>
        </w:rPr>
        <w:t xml:space="preserve">più </w:t>
      </w:r>
      <w:r w:rsidR="0085486B" w:rsidRPr="00FA476C">
        <w:rPr>
          <w:rFonts w:ascii="Calibri" w:hAnsi="Calibri" w:cs="Calibri"/>
          <w:b/>
          <w:bCs/>
          <w:kern w:val="0"/>
        </w:rPr>
        <w:t>significativ</w:t>
      </w:r>
      <w:r w:rsidR="007B0EBE" w:rsidRPr="00FA476C">
        <w:rPr>
          <w:rFonts w:ascii="Calibri" w:hAnsi="Calibri" w:cs="Calibri"/>
          <w:b/>
          <w:bCs/>
          <w:kern w:val="0"/>
        </w:rPr>
        <w:t>i</w:t>
      </w:r>
      <w:r w:rsidR="0085486B" w:rsidRPr="00FA476C">
        <w:rPr>
          <w:rFonts w:ascii="Calibri" w:hAnsi="Calibri" w:cs="Calibri"/>
          <w:b/>
          <w:bCs/>
          <w:kern w:val="0"/>
        </w:rPr>
        <w:t xml:space="preserve"> </w:t>
      </w:r>
      <w:r w:rsidR="007B0EBE" w:rsidRPr="00FA476C">
        <w:rPr>
          <w:rFonts w:ascii="Calibri" w:hAnsi="Calibri" w:cs="Calibri"/>
          <w:b/>
          <w:bCs/>
          <w:kern w:val="0"/>
        </w:rPr>
        <w:t>ne</w:t>
      </w:r>
      <w:r w:rsidR="00220BD9" w:rsidRPr="00FA476C">
        <w:rPr>
          <w:rFonts w:ascii="Calibri" w:hAnsi="Calibri" w:cs="Calibri"/>
          <w:b/>
          <w:bCs/>
          <w:kern w:val="0"/>
        </w:rPr>
        <w:t>lle</w:t>
      </w:r>
      <w:r w:rsidR="00C54678" w:rsidRPr="00FA476C">
        <w:rPr>
          <w:rFonts w:ascii="Calibri" w:hAnsi="Calibri" w:cs="Calibri"/>
          <w:b/>
          <w:bCs/>
          <w:kern w:val="0"/>
        </w:rPr>
        <w:t xml:space="preserve"> zone del Centro-Sud</w:t>
      </w:r>
      <w:r w:rsidR="007B0EBE" w:rsidRPr="00FA476C">
        <w:rPr>
          <w:rFonts w:ascii="Calibri" w:hAnsi="Calibri" w:cs="Calibri"/>
          <w:b/>
          <w:bCs/>
          <w:kern w:val="0"/>
        </w:rPr>
        <w:t xml:space="preserve"> e lasciano </w:t>
      </w:r>
      <w:r w:rsidR="00306CB1" w:rsidRPr="00FA476C">
        <w:rPr>
          <w:rFonts w:ascii="Calibri" w:hAnsi="Calibri" w:cs="Calibri"/>
          <w:b/>
          <w:bCs/>
          <w:kern w:val="0"/>
        </w:rPr>
        <w:t>i</w:t>
      </w:r>
      <w:r w:rsidR="00836394" w:rsidRPr="00FA476C">
        <w:rPr>
          <w:rFonts w:ascii="Calibri" w:hAnsi="Calibri" w:cs="Calibri"/>
          <w:b/>
          <w:bCs/>
          <w:kern w:val="0"/>
        </w:rPr>
        <w:t>potizza</w:t>
      </w:r>
      <w:r w:rsidR="00306CB1" w:rsidRPr="00FA476C">
        <w:rPr>
          <w:rFonts w:ascii="Calibri" w:hAnsi="Calibri" w:cs="Calibri"/>
          <w:b/>
          <w:bCs/>
          <w:kern w:val="0"/>
        </w:rPr>
        <w:t xml:space="preserve">re un </w:t>
      </w:r>
      <w:r w:rsidR="003818CB" w:rsidRPr="00FA476C">
        <w:rPr>
          <w:rFonts w:ascii="Calibri" w:hAnsi="Calibri" w:cs="Calibri"/>
          <w:b/>
          <w:bCs/>
          <w:kern w:val="0"/>
        </w:rPr>
        <w:t xml:space="preserve">incremento del </w:t>
      </w:r>
      <w:r w:rsidR="005430AE" w:rsidRPr="00FA476C">
        <w:rPr>
          <w:rFonts w:ascii="Calibri" w:hAnsi="Calibri" w:cs="Calibri"/>
          <w:b/>
          <w:bCs/>
          <w:kern w:val="0"/>
        </w:rPr>
        <w:t>divario strutturale tra sistema produttivo settentrionale e meridionale</w:t>
      </w:r>
      <w:r w:rsidR="00F805DC" w:rsidRPr="00FA476C">
        <w:rPr>
          <w:rFonts w:ascii="Calibri" w:hAnsi="Calibri" w:cs="Calibri"/>
          <w:b/>
          <w:bCs/>
          <w:kern w:val="0"/>
        </w:rPr>
        <w:t>.</w:t>
      </w:r>
    </w:p>
    <w:p w14:paraId="1D85E6B0" w14:textId="77777777" w:rsidR="00E32D5D" w:rsidRPr="00FA476C" w:rsidRDefault="00E32D5D" w:rsidP="00DC2B22">
      <w:pPr>
        <w:autoSpaceDE w:val="0"/>
        <w:autoSpaceDN w:val="0"/>
        <w:adjustRightInd w:val="0"/>
        <w:spacing w:beforeLines="120" w:before="288" w:after="0" w:line="240" w:lineRule="auto"/>
        <w:contextualSpacing/>
        <w:jc w:val="both"/>
        <w:rPr>
          <w:rFonts w:ascii="Calibri" w:hAnsi="Calibri" w:cs="Calibri"/>
          <w:kern w:val="0"/>
        </w:rPr>
      </w:pPr>
    </w:p>
    <w:p w14:paraId="07D58EE1" w14:textId="4AE0C41F" w:rsidR="00F90AE4" w:rsidRPr="00FA476C" w:rsidRDefault="0047092C" w:rsidP="00DC2B22">
      <w:pPr>
        <w:autoSpaceDE w:val="0"/>
        <w:autoSpaceDN w:val="0"/>
        <w:adjustRightInd w:val="0"/>
        <w:spacing w:beforeLines="120" w:before="288" w:after="0" w:line="240" w:lineRule="auto"/>
        <w:contextualSpacing/>
        <w:jc w:val="both"/>
        <w:rPr>
          <w:rFonts w:ascii="Calibri" w:hAnsi="Calibri" w:cs="Calibri"/>
          <w:kern w:val="0"/>
        </w:rPr>
      </w:pPr>
      <w:r w:rsidRPr="00FA476C">
        <w:rPr>
          <w:rFonts w:ascii="Calibri" w:hAnsi="Calibri" w:cs="Calibri"/>
          <w:b/>
          <w:bCs/>
          <w:kern w:val="0"/>
        </w:rPr>
        <w:t>I primi effetti dell’inflazione e dell’aumento del costo del debito</w:t>
      </w:r>
      <w:r w:rsidR="005C2BDE" w:rsidRPr="00FA476C">
        <w:rPr>
          <w:rFonts w:ascii="Calibri" w:hAnsi="Calibri" w:cs="Calibri"/>
          <w:b/>
          <w:bCs/>
          <w:kern w:val="0"/>
        </w:rPr>
        <w:t xml:space="preserve"> </w:t>
      </w:r>
      <w:r w:rsidR="00797B31" w:rsidRPr="00FA476C">
        <w:rPr>
          <w:rFonts w:ascii="Calibri" w:hAnsi="Calibri" w:cs="Calibri"/>
          <w:b/>
          <w:bCs/>
          <w:kern w:val="0"/>
        </w:rPr>
        <w:t>fanno contrarre la redditività netta e gli utili delle PMI.</w:t>
      </w:r>
      <w:r w:rsidR="00797B31" w:rsidRPr="00FA476C">
        <w:rPr>
          <w:rFonts w:ascii="Calibri" w:hAnsi="Calibri" w:cs="Calibri"/>
          <w:kern w:val="0"/>
        </w:rPr>
        <w:t xml:space="preserve"> </w:t>
      </w:r>
      <w:r w:rsidR="00F805DC" w:rsidRPr="00FA476C">
        <w:rPr>
          <w:rFonts w:ascii="Calibri" w:hAnsi="Calibri" w:cs="Calibri"/>
          <w:kern w:val="0"/>
        </w:rPr>
        <w:t>Nel 2022 si stima infatti un calo del ROE dello 0</w:t>
      </w:r>
      <w:r w:rsidR="003E0A72" w:rsidRPr="00FA476C">
        <w:rPr>
          <w:rFonts w:ascii="Calibri" w:hAnsi="Calibri" w:cs="Calibri"/>
          <w:kern w:val="0"/>
        </w:rPr>
        <w:t>,</w:t>
      </w:r>
      <w:r w:rsidR="00F805DC" w:rsidRPr="00FA476C">
        <w:rPr>
          <w:rFonts w:ascii="Calibri" w:hAnsi="Calibri" w:cs="Calibri"/>
          <w:kern w:val="0"/>
        </w:rPr>
        <w:t>6% (dal</w:t>
      </w:r>
      <w:r w:rsidR="00867B4C" w:rsidRPr="00FA476C">
        <w:rPr>
          <w:rFonts w:ascii="Calibri" w:hAnsi="Calibri" w:cs="Calibri"/>
          <w:kern w:val="0"/>
        </w:rPr>
        <w:t xml:space="preserve"> 12</w:t>
      </w:r>
      <w:r w:rsidR="00F805DC" w:rsidRPr="00FA476C">
        <w:rPr>
          <w:rFonts w:ascii="Calibri" w:hAnsi="Calibri" w:cs="Calibri"/>
          <w:kern w:val="0"/>
        </w:rPr>
        <w:t>% al</w:t>
      </w:r>
      <w:r w:rsidR="00867B4C" w:rsidRPr="00FA476C">
        <w:rPr>
          <w:rFonts w:ascii="Calibri" w:hAnsi="Calibri" w:cs="Calibri"/>
          <w:kern w:val="0"/>
        </w:rPr>
        <w:t>l’11</w:t>
      </w:r>
      <w:r w:rsidR="003E0A72" w:rsidRPr="00FA476C">
        <w:rPr>
          <w:rFonts w:ascii="Calibri" w:hAnsi="Calibri" w:cs="Calibri"/>
          <w:kern w:val="0"/>
        </w:rPr>
        <w:t>,</w:t>
      </w:r>
      <w:r w:rsidR="00867B4C" w:rsidRPr="00FA476C">
        <w:rPr>
          <w:rFonts w:ascii="Calibri" w:hAnsi="Calibri" w:cs="Calibri"/>
          <w:kern w:val="0"/>
        </w:rPr>
        <w:t>4</w:t>
      </w:r>
      <w:r w:rsidR="00F805DC" w:rsidRPr="00FA476C">
        <w:rPr>
          <w:rFonts w:ascii="Calibri" w:hAnsi="Calibri" w:cs="Calibri"/>
          <w:kern w:val="0"/>
        </w:rPr>
        <w:t xml:space="preserve">%). La riduzione della redditività </w:t>
      </w:r>
      <w:r w:rsidR="009F3D06" w:rsidRPr="00FA476C">
        <w:rPr>
          <w:rFonts w:ascii="Calibri" w:hAnsi="Calibri" w:cs="Calibri"/>
          <w:kern w:val="0"/>
        </w:rPr>
        <w:t xml:space="preserve">è più marcata nel </w:t>
      </w:r>
      <w:r w:rsidR="00F805DC" w:rsidRPr="00FA476C">
        <w:rPr>
          <w:rFonts w:ascii="Calibri" w:hAnsi="Calibri" w:cs="Calibri"/>
          <w:kern w:val="0"/>
        </w:rPr>
        <w:t>Centro (</w:t>
      </w:r>
      <w:r w:rsidR="00621AA2" w:rsidRPr="00FA476C">
        <w:rPr>
          <w:rFonts w:ascii="Calibri" w:hAnsi="Calibri" w:cs="Calibri"/>
          <w:kern w:val="0"/>
        </w:rPr>
        <w:t>dall’11,4% del 2021 al 10,4% del 2022</w:t>
      </w:r>
      <w:r w:rsidR="00F805DC" w:rsidRPr="00FA476C">
        <w:rPr>
          <w:rFonts w:ascii="Calibri" w:hAnsi="Calibri" w:cs="Calibri"/>
          <w:kern w:val="0"/>
        </w:rPr>
        <w:t xml:space="preserve">) e </w:t>
      </w:r>
      <w:r w:rsidR="009F3D06" w:rsidRPr="00FA476C">
        <w:rPr>
          <w:rFonts w:ascii="Calibri" w:hAnsi="Calibri" w:cs="Calibri"/>
          <w:kern w:val="0"/>
        </w:rPr>
        <w:t>nel</w:t>
      </w:r>
      <w:r w:rsidR="00F805DC" w:rsidRPr="00FA476C">
        <w:rPr>
          <w:rFonts w:ascii="Calibri" w:hAnsi="Calibri" w:cs="Calibri"/>
          <w:kern w:val="0"/>
        </w:rPr>
        <w:t xml:space="preserve"> Mezzogiorno (</w:t>
      </w:r>
      <w:r w:rsidR="00436AC3" w:rsidRPr="00FA476C">
        <w:rPr>
          <w:rFonts w:ascii="Calibri" w:hAnsi="Calibri" w:cs="Calibri"/>
          <w:kern w:val="0"/>
        </w:rPr>
        <w:t>dal 13% del 2021 al 12,2% del 2022</w:t>
      </w:r>
      <w:r w:rsidR="00F805DC" w:rsidRPr="00FA476C">
        <w:rPr>
          <w:rFonts w:ascii="Calibri" w:hAnsi="Calibri" w:cs="Calibri"/>
          <w:kern w:val="0"/>
        </w:rPr>
        <w:t>), con il Nord-Est e il Nord-Ovest che soffrono di meno (</w:t>
      </w:r>
      <w:r w:rsidR="009556BA" w:rsidRPr="00FA476C">
        <w:rPr>
          <w:rFonts w:ascii="Calibri" w:hAnsi="Calibri" w:cs="Calibri"/>
          <w:kern w:val="0"/>
        </w:rPr>
        <w:t xml:space="preserve">dal 12,5% del 2021 al 12,1% del 2022 per il Nord-Est e </w:t>
      </w:r>
      <w:r w:rsidR="00796130" w:rsidRPr="00FA476C">
        <w:rPr>
          <w:rFonts w:ascii="Calibri" w:hAnsi="Calibri" w:cs="Calibri"/>
          <w:kern w:val="0"/>
        </w:rPr>
        <w:t>dall’11,5% all’11,1% per il Nord-Ovest</w:t>
      </w:r>
      <w:r w:rsidR="00F805DC" w:rsidRPr="00FA476C">
        <w:rPr>
          <w:rFonts w:ascii="Calibri" w:hAnsi="Calibri" w:cs="Calibri"/>
          <w:kern w:val="0"/>
        </w:rPr>
        <w:t xml:space="preserve">). </w:t>
      </w:r>
      <w:r w:rsidR="00797B31" w:rsidRPr="00FA476C">
        <w:rPr>
          <w:rFonts w:ascii="Calibri" w:hAnsi="Calibri" w:cs="Calibri"/>
          <w:kern w:val="0"/>
        </w:rPr>
        <w:t xml:space="preserve">In parallelo, la quota di </w:t>
      </w:r>
      <w:r w:rsidR="00797B31" w:rsidRPr="00FA476C">
        <w:rPr>
          <w:rFonts w:ascii="Calibri" w:hAnsi="Calibri" w:cs="Calibri"/>
          <w:b/>
          <w:bCs/>
          <w:kern w:val="0"/>
        </w:rPr>
        <w:t xml:space="preserve">PMI </w:t>
      </w:r>
      <w:r w:rsidR="00F90AE4" w:rsidRPr="00FA476C">
        <w:rPr>
          <w:rFonts w:ascii="Calibri" w:hAnsi="Calibri" w:cs="Calibri"/>
          <w:b/>
          <w:bCs/>
          <w:kern w:val="0"/>
        </w:rPr>
        <w:t>in perdita</w:t>
      </w:r>
      <w:r w:rsidR="00797B31" w:rsidRPr="00FA476C">
        <w:rPr>
          <w:rFonts w:ascii="Calibri" w:hAnsi="Calibri" w:cs="Calibri"/>
          <w:kern w:val="0"/>
        </w:rPr>
        <w:t xml:space="preserve"> passa dal </w:t>
      </w:r>
      <w:r w:rsidR="004916CE" w:rsidRPr="00FA476C">
        <w:rPr>
          <w:rFonts w:ascii="Calibri" w:hAnsi="Calibri" w:cs="Calibri"/>
          <w:kern w:val="0"/>
        </w:rPr>
        <w:t>12</w:t>
      </w:r>
      <w:r w:rsidR="005C2BDE" w:rsidRPr="00FA476C">
        <w:rPr>
          <w:rFonts w:ascii="Calibri" w:hAnsi="Calibri" w:cs="Calibri"/>
          <w:kern w:val="0"/>
        </w:rPr>
        <w:t>,</w:t>
      </w:r>
      <w:r w:rsidR="004916CE" w:rsidRPr="00FA476C">
        <w:rPr>
          <w:rFonts w:ascii="Calibri" w:hAnsi="Calibri" w:cs="Calibri"/>
          <w:kern w:val="0"/>
        </w:rPr>
        <w:t>2%</w:t>
      </w:r>
      <w:r w:rsidR="00797B31" w:rsidRPr="00FA476C">
        <w:rPr>
          <w:rFonts w:ascii="Calibri" w:hAnsi="Calibri" w:cs="Calibri"/>
          <w:kern w:val="0"/>
        </w:rPr>
        <w:t xml:space="preserve"> del 2021 al </w:t>
      </w:r>
      <w:r w:rsidR="004916CE" w:rsidRPr="00FA476C">
        <w:rPr>
          <w:rFonts w:ascii="Calibri" w:hAnsi="Calibri" w:cs="Calibri"/>
          <w:kern w:val="0"/>
        </w:rPr>
        <w:t>27</w:t>
      </w:r>
      <w:r w:rsidR="005C2BDE" w:rsidRPr="00FA476C">
        <w:rPr>
          <w:rFonts w:ascii="Calibri" w:hAnsi="Calibri" w:cs="Calibri"/>
          <w:kern w:val="0"/>
        </w:rPr>
        <w:t>,</w:t>
      </w:r>
      <w:r w:rsidR="004916CE" w:rsidRPr="00FA476C">
        <w:rPr>
          <w:rFonts w:ascii="Calibri" w:hAnsi="Calibri" w:cs="Calibri"/>
          <w:kern w:val="0"/>
        </w:rPr>
        <w:t>9%</w:t>
      </w:r>
      <w:r w:rsidR="00797B31" w:rsidRPr="00FA476C">
        <w:rPr>
          <w:rFonts w:ascii="Calibri" w:hAnsi="Calibri" w:cs="Calibri"/>
          <w:kern w:val="0"/>
        </w:rPr>
        <w:t xml:space="preserve"> del 2022</w:t>
      </w:r>
      <w:r w:rsidR="002D0D60" w:rsidRPr="00FA476C">
        <w:rPr>
          <w:rFonts w:ascii="Calibri" w:hAnsi="Calibri" w:cs="Calibri"/>
          <w:kern w:val="0"/>
        </w:rPr>
        <w:t xml:space="preserve">, con effetti più significativi nel Centro </w:t>
      </w:r>
      <w:r w:rsidR="003248FC" w:rsidRPr="00FA476C">
        <w:rPr>
          <w:rFonts w:ascii="Calibri" w:hAnsi="Calibri" w:cs="Calibri"/>
          <w:kern w:val="0"/>
        </w:rPr>
        <w:t>(</w:t>
      </w:r>
      <w:r w:rsidR="00410096" w:rsidRPr="00FA476C">
        <w:rPr>
          <w:rFonts w:ascii="Calibri" w:hAnsi="Calibri" w:cs="Calibri"/>
          <w:kern w:val="0"/>
        </w:rPr>
        <w:t>+16</w:t>
      </w:r>
      <w:r w:rsidR="003E0A72" w:rsidRPr="00FA476C">
        <w:rPr>
          <w:rFonts w:ascii="Calibri" w:hAnsi="Calibri" w:cs="Calibri"/>
          <w:kern w:val="0"/>
        </w:rPr>
        <w:t>,</w:t>
      </w:r>
      <w:r w:rsidR="00410096" w:rsidRPr="00FA476C">
        <w:rPr>
          <w:rFonts w:ascii="Calibri" w:hAnsi="Calibri" w:cs="Calibri"/>
          <w:kern w:val="0"/>
        </w:rPr>
        <w:t>4%; dal</w:t>
      </w:r>
      <w:r w:rsidR="00592E3E" w:rsidRPr="00FA476C">
        <w:rPr>
          <w:rFonts w:ascii="Calibri" w:hAnsi="Calibri" w:cs="Calibri"/>
          <w:kern w:val="0"/>
        </w:rPr>
        <w:t xml:space="preserve"> 13</w:t>
      </w:r>
      <w:r w:rsidR="003E0A72" w:rsidRPr="00FA476C">
        <w:rPr>
          <w:rFonts w:ascii="Calibri" w:hAnsi="Calibri" w:cs="Calibri"/>
          <w:kern w:val="0"/>
        </w:rPr>
        <w:t>,</w:t>
      </w:r>
      <w:r w:rsidR="00592E3E" w:rsidRPr="00FA476C">
        <w:rPr>
          <w:rFonts w:ascii="Calibri" w:hAnsi="Calibri" w:cs="Calibri"/>
          <w:kern w:val="0"/>
        </w:rPr>
        <w:t>4% al 29</w:t>
      </w:r>
      <w:r w:rsidR="003E0A72" w:rsidRPr="00FA476C">
        <w:rPr>
          <w:rFonts w:ascii="Calibri" w:hAnsi="Calibri" w:cs="Calibri"/>
          <w:kern w:val="0"/>
        </w:rPr>
        <w:t>,</w:t>
      </w:r>
      <w:r w:rsidR="00592E3E" w:rsidRPr="00FA476C">
        <w:rPr>
          <w:rFonts w:ascii="Calibri" w:hAnsi="Calibri" w:cs="Calibri"/>
          <w:kern w:val="0"/>
        </w:rPr>
        <w:t>8%</w:t>
      </w:r>
      <w:r w:rsidR="003248FC" w:rsidRPr="00FA476C">
        <w:rPr>
          <w:rFonts w:ascii="Calibri" w:hAnsi="Calibri" w:cs="Calibri"/>
          <w:kern w:val="0"/>
        </w:rPr>
        <w:t>)</w:t>
      </w:r>
      <w:r w:rsidR="00F90AE4" w:rsidRPr="00FA476C">
        <w:rPr>
          <w:rFonts w:ascii="Calibri" w:hAnsi="Calibri" w:cs="Calibri"/>
          <w:kern w:val="0"/>
        </w:rPr>
        <w:t xml:space="preserve">. </w:t>
      </w:r>
    </w:p>
    <w:p w14:paraId="7B9AF502" w14:textId="77777777" w:rsidR="003A628F" w:rsidRPr="00FA476C" w:rsidRDefault="003A628F" w:rsidP="00DC2B22">
      <w:pPr>
        <w:autoSpaceDE w:val="0"/>
        <w:autoSpaceDN w:val="0"/>
        <w:adjustRightInd w:val="0"/>
        <w:spacing w:beforeLines="120" w:before="288" w:after="0" w:line="240" w:lineRule="auto"/>
        <w:contextualSpacing/>
        <w:jc w:val="both"/>
        <w:rPr>
          <w:rFonts w:ascii="Calibri" w:hAnsi="Calibri" w:cs="Calibri"/>
          <w:kern w:val="0"/>
        </w:rPr>
      </w:pPr>
    </w:p>
    <w:p w14:paraId="65030148" w14:textId="42C22ACD" w:rsidR="00825277" w:rsidRPr="00FA476C" w:rsidRDefault="002E0157" w:rsidP="00DC2B22">
      <w:pPr>
        <w:autoSpaceDE w:val="0"/>
        <w:autoSpaceDN w:val="0"/>
        <w:adjustRightInd w:val="0"/>
        <w:spacing w:beforeLines="120" w:before="288" w:after="0" w:line="240" w:lineRule="auto"/>
        <w:contextualSpacing/>
        <w:jc w:val="both"/>
        <w:rPr>
          <w:rFonts w:ascii="Calibri" w:hAnsi="Calibri" w:cs="Calibri"/>
          <w:kern w:val="0"/>
        </w:rPr>
      </w:pPr>
      <w:r w:rsidRPr="00FA476C">
        <w:rPr>
          <w:rFonts w:ascii="Calibri" w:hAnsi="Calibri" w:cs="Calibri"/>
          <w:b/>
          <w:bCs/>
          <w:kern w:val="0"/>
        </w:rPr>
        <w:t>Il peggioramento della congiuntura</w:t>
      </w:r>
      <w:r w:rsidR="001D64B0" w:rsidRPr="00FA476C">
        <w:rPr>
          <w:rFonts w:ascii="Calibri" w:hAnsi="Calibri" w:cs="Calibri"/>
          <w:b/>
          <w:bCs/>
          <w:kern w:val="0"/>
        </w:rPr>
        <w:t xml:space="preserve"> </w:t>
      </w:r>
      <w:r w:rsidRPr="00FA476C">
        <w:rPr>
          <w:rFonts w:ascii="Calibri" w:hAnsi="Calibri" w:cs="Calibri"/>
          <w:b/>
          <w:bCs/>
          <w:kern w:val="0"/>
        </w:rPr>
        <w:t xml:space="preserve">genera impatti anche sulle </w:t>
      </w:r>
      <w:r w:rsidR="00D91784" w:rsidRPr="00FA476C">
        <w:rPr>
          <w:rFonts w:ascii="Calibri" w:hAnsi="Calibri" w:cs="Calibri"/>
          <w:b/>
          <w:bCs/>
          <w:kern w:val="0"/>
        </w:rPr>
        <w:t>abitudini di pagamento delle PMI</w:t>
      </w:r>
      <w:r w:rsidR="0003795F" w:rsidRPr="00FA476C">
        <w:rPr>
          <w:rFonts w:ascii="Calibri" w:hAnsi="Calibri" w:cs="Calibri"/>
          <w:kern w:val="0"/>
        </w:rPr>
        <w:t xml:space="preserve">: i </w:t>
      </w:r>
      <w:r w:rsidR="001113BA" w:rsidRPr="00FA476C">
        <w:rPr>
          <w:rFonts w:ascii="Calibri" w:hAnsi="Calibri" w:cs="Calibri"/>
          <w:kern w:val="0"/>
        </w:rPr>
        <w:t xml:space="preserve">mancati pagamenti sono </w:t>
      </w:r>
      <w:r w:rsidR="00E32D5D" w:rsidRPr="00FA476C">
        <w:rPr>
          <w:rFonts w:ascii="Calibri" w:hAnsi="Calibri" w:cs="Calibri"/>
          <w:kern w:val="0"/>
        </w:rPr>
        <w:t xml:space="preserve">attesi </w:t>
      </w:r>
      <w:r w:rsidR="001113BA" w:rsidRPr="00FA476C">
        <w:rPr>
          <w:rFonts w:ascii="Calibri" w:hAnsi="Calibri" w:cs="Calibri"/>
          <w:kern w:val="0"/>
        </w:rPr>
        <w:t>in rialzo del 4</w:t>
      </w:r>
      <w:r w:rsidR="00E32D5D" w:rsidRPr="00FA476C">
        <w:rPr>
          <w:rFonts w:ascii="Calibri" w:hAnsi="Calibri" w:cs="Calibri"/>
          <w:kern w:val="0"/>
        </w:rPr>
        <w:t>,</w:t>
      </w:r>
      <w:r w:rsidR="001113BA" w:rsidRPr="00FA476C">
        <w:rPr>
          <w:rFonts w:ascii="Calibri" w:hAnsi="Calibri" w:cs="Calibri"/>
          <w:kern w:val="0"/>
        </w:rPr>
        <w:t>3% a livello nazionale (sono il 29</w:t>
      </w:r>
      <w:r w:rsidR="003E0A72" w:rsidRPr="00FA476C">
        <w:rPr>
          <w:rFonts w:ascii="Calibri" w:hAnsi="Calibri" w:cs="Calibri"/>
          <w:kern w:val="0"/>
        </w:rPr>
        <w:t>,</w:t>
      </w:r>
      <w:r w:rsidR="001113BA" w:rsidRPr="00FA476C">
        <w:rPr>
          <w:rFonts w:ascii="Calibri" w:hAnsi="Calibri" w:cs="Calibri"/>
          <w:kern w:val="0"/>
        </w:rPr>
        <w:t>4% delle fatture nel dicembre 2022 contro il 25</w:t>
      </w:r>
      <w:r w:rsidR="003E0A72" w:rsidRPr="00FA476C">
        <w:rPr>
          <w:rFonts w:ascii="Calibri" w:hAnsi="Calibri" w:cs="Calibri"/>
          <w:kern w:val="0"/>
        </w:rPr>
        <w:t>,</w:t>
      </w:r>
      <w:r w:rsidR="001113BA" w:rsidRPr="00FA476C">
        <w:rPr>
          <w:rFonts w:ascii="Calibri" w:hAnsi="Calibri" w:cs="Calibri"/>
          <w:kern w:val="0"/>
        </w:rPr>
        <w:t>1% del dicembre 2021</w:t>
      </w:r>
      <w:r w:rsidR="00BB02AC" w:rsidRPr="00FA476C">
        <w:rPr>
          <w:rFonts w:ascii="Calibri" w:hAnsi="Calibri" w:cs="Calibri"/>
          <w:kern w:val="0"/>
        </w:rPr>
        <w:t>). I valori più elevati si toccano tuttavia nel Mezzogiorno (39</w:t>
      </w:r>
      <w:r w:rsidR="003E0A72" w:rsidRPr="00FA476C">
        <w:rPr>
          <w:rFonts w:ascii="Calibri" w:hAnsi="Calibri" w:cs="Calibri"/>
          <w:kern w:val="0"/>
        </w:rPr>
        <w:t>,</w:t>
      </w:r>
      <w:r w:rsidR="00BB02AC" w:rsidRPr="00FA476C">
        <w:rPr>
          <w:rFonts w:ascii="Calibri" w:hAnsi="Calibri" w:cs="Calibri"/>
          <w:kern w:val="0"/>
        </w:rPr>
        <w:t>6%; +5</w:t>
      </w:r>
      <w:r w:rsidR="003E0A72" w:rsidRPr="00FA476C">
        <w:rPr>
          <w:rFonts w:ascii="Calibri" w:hAnsi="Calibri" w:cs="Calibri"/>
          <w:kern w:val="0"/>
        </w:rPr>
        <w:t>,</w:t>
      </w:r>
      <w:r w:rsidR="00BB02AC" w:rsidRPr="00FA476C">
        <w:rPr>
          <w:rFonts w:ascii="Calibri" w:hAnsi="Calibri" w:cs="Calibri"/>
          <w:kern w:val="0"/>
        </w:rPr>
        <w:t>8% su base annuale) e nel Centro (32%; +2</w:t>
      </w:r>
      <w:r w:rsidR="003E0A72" w:rsidRPr="00FA476C">
        <w:rPr>
          <w:rFonts w:ascii="Calibri" w:hAnsi="Calibri" w:cs="Calibri"/>
          <w:kern w:val="0"/>
        </w:rPr>
        <w:t>,</w:t>
      </w:r>
      <w:r w:rsidR="00BB02AC" w:rsidRPr="00FA476C">
        <w:rPr>
          <w:rFonts w:ascii="Calibri" w:hAnsi="Calibri" w:cs="Calibri"/>
          <w:kern w:val="0"/>
        </w:rPr>
        <w:t xml:space="preserve">9% sull’anno). </w:t>
      </w:r>
      <w:r w:rsidR="00E32D5D" w:rsidRPr="00FA476C">
        <w:rPr>
          <w:rFonts w:ascii="Calibri" w:hAnsi="Calibri" w:cs="Calibri"/>
          <w:kern w:val="0"/>
        </w:rPr>
        <w:t>P</w:t>
      </w:r>
      <w:r w:rsidR="00F15C81" w:rsidRPr="00FA476C">
        <w:rPr>
          <w:rFonts w:ascii="Calibri" w:hAnsi="Calibri" w:cs="Calibri"/>
          <w:kern w:val="0"/>
        </w:rPr>
        <w:t xml:space="preserve">iù contenuti i mancati pagamenti </w:t>
      </w:r>
      <w:r w:rsidR="00E32D5D" w:rsidRPr="00FA476C">
        <w:rPr>
          <w:rFonts w:ascii="Calibri" w:hAnsi="Calibri" w:cs="Calibri"/>
          <w:kern w:val="0"/>
        </w:rPr>
        <w:t>n</w:t>
      </w:r>
      <w:r w:rsidR="00F15C81" w:rsidRPr="00FA476C">
        <w:rPr>
          <w:rFonts w:ascii="Calibri" w:hAnsi="Calibri" w:cs="Calibri"/>
          <w:kern w:val="0"/>
        </w:rPr>
        <w:t>el Nord-Est (22</w:t>
      </w:r>
      <w:r w:rsidR="003E0A72" w:rsidRPr="00FA476C">
        <w:rPr>
          <w:rFonts w:ascii="Calibri" w:hAnsi="Calibri" w:cs="Calibri"/>
          <w:kern w:val="0"/>
        </w:rPr>
        <w:t>,</w:t>
      </w:r>
      <w:r w:rsidR="00F15C81" w:rsidRPr="00FA476C">
        <w:rPr>
          <w:rFonts w:ascii="Calibri" w:hAnsi="Calibri" w:cs="Calibri"/>
          <w:kern w:val="0"/>
        </w:rPr>
        <w:t>7%; +3</w:t>
      </w:r>
      <w:r w:rsidR="003E0A72" w:rsidRPr="00FA476C">
        <w:rPr>
          <w:rFonts w:ascii="Calibri" w:hAnsi="Calibri" w:cs="Calibri"/>
          <w:kern w:val="0"/>
        </w:rPr>
        <w:t>,</w:t>
      </w:r>
      <w:r w:rsidR="00F15C81" w:rsidRPr="00FA476C">
        <w:rPr>
          <w:rFonts w:ascii="Calibri" w:hAnsi="Calibri" w:cs="Calibri"/>
          <w:kern w:val="0"/>
        </w:rPr>
        <w:t xml:space="preserve">5%) e </w:t>
      </w:r>
      <w:r w:rsidR="00E32D5D" w:rsidRPr="00FA476C">
        <w:rPr>
          <w:rFonts w:ascii="Calibri" w:hAnsi="Calibri" w:cs="Calibri"/>
          <w:kern w:val="0"/>
        </w:rPr>
        <w:t>n</w:t>
      </w:r>
      <w:r w:rsidR="00F15C81" w:rsidRPr="00FA476C">
        <w:rPr>
          <w:rFonts w:ascii="Calibri" w:hAnsi="Calibri" w:cs="Calibri"/>
          <w:kern w:val="0"/>
        </w:rPr>
        <w:t>el Nord-Ovest (27</w:t>
      </w:r>
      <w:r w:rsidR="003E0A72" w:rsidRPr="00FA476C">
        <w:rPr>
          <w:rFonts w:ascii="Calibri" w:hAnsi="Calibri" w:cs="Calibri"/>
          <w:kern w:val="0"/>
        </w:rPr>
        <w:t>,</w:t>
      </w:r>
      <w:r w:rsidR="00F15C81" w:rsidRPr="00FA476C">
        <w:rPr>
          <w:rFonts w:ascii="Calibri" w:hAnsi="Calibri" w:cs="Calibri"/>
          <w:kern w:val="0"/>
        </w:rPr>
        <w:t>2%, +4</w:t>
      </w:r>
      <w:r w:rsidR="003E0A72" w:rsidRPr="00FA476C">
        <w:rPr>
          <w:rFonts w:ascii="Calibri" w:hAnsi="Calibri" w:cs="Calibri"/>
          <w:kern w:val="0"/>
        </w:rPr>
        <w:t>,</w:t>
      </w:r>
      <w:r w:rsidR="00F15C81" w:rsidRPr="00FA476C">
        <w:rPr>
          <w:rFonts w:ascii="Calibri" w:hAnsi="Calibri" w:cs="Calibri"/>
          <w:kern w:val="0"/>
        </w:rPr>
        <w:t>6% sull’anno)</w:t>
      </w:r>
      <w:r w:rsidR="00E5214B" w:rsidRPr="00FA476C">
        <w:rPr>
          <w:rFonts w:ascii="Calibri" w:hAnsi="Calibri" w:cs="Calibri"/>
          <w:kern w:val="0"/>
        </w:rPr>
        <w:t>.</w:t>
      </w:r>
      <w:r w:rsidR="00331BB9" w:rsidRPr="00FA476C">
        <w:rPr>
          <w:rFonts w:ascii="Calibri" w:hAnsi="Calibri" w:cs="Calibri"/>
          <w:kern w:val="0"/>
        </w:rPr>
        <w:t xml:space="preserve"> </w:t>
      </w:r>
      <w:r w:rsidR="00825277" w:rsidRPr="00FA476C">
        <w:rPr>
          <w:rFonts w:ascii="Calibri" w:hAnsi="Calibri" w:cs="Calibri"/>
          <w:b/>
          <w:bCs/>
          <w:kern w:val="0"/>
        </w:rPr>
        <w:t>Segnali di un</w:t>
      </w:r>
      <w:r w:rsidR="00E32D5D" w:rsidRPr="00FA476C">
        <w:rPr>
          <w:rFonts w:ascii="Calibri" w:hAnsi="Calibri" w:cs="Calibri"/>
          <w:b/>
          <w:bCs/>
          <w:kern w:val="0"/>
        </w:rPr>
        <w:t>’</w:t>
      </w:r>
      <w:r w:rsidR="00825277" w:rsidRPr="00FA476C">
        <w:rPr>
          <w:rFonts w:ascii="Calibri" w:hAnsi="Calibri" w:cs="Calibri"/>
          <w:b/>
          <w:bCs/>
          <w:kern w:val="0"/>
        </w:rPr>
        <w:t>inversione di tendenza si intravedono anche tra gli indicatori di stabilità finanziaria.</w:t>
      </w:r>
      <w:r w:rsidR="00825277" w:rsidRPr="00FA476C">
        <w:rPr>
          <w:rFonts w:ascii="Calibri" w:hAnsi="Calibri" w:cs="Calibri"/>
          <w:kern w:val="0"/>
        </w:rPr>
        <w:t xml:space="preserve"> </w:t>
      </w:r>
    </w:p>
    <w:p w14:paraId="72952856" w14:textId="77777777" w:rsidR="00DC0AAD" w:rsidRPr="00FA476C" w:rsidRDefault="00DC0AAD" w:rsidP="00DC2B22">
      <w:pPr>
        <w:autoSpaceDE w:val="0"/>
        <w:autoSpaceDN w:val="0"/>
        <w:adjustRightInd w:val="0"/>
        <w:spacing w:beforeLines="120" w:before="288" w:after="0" w:line="240" w:lineRule="auto"/>
        <w:contextualSpacing/>
        <w:jc w:val="both"/>
        <w:rPr>
          <w:rFonts w:ascii="Calibri" w:hAnsi="Calibri" w:cs="Calibri"/>
          <w:kern w:val="0"/>
        </w:rPr>
      </w:pPr>
    </w:p>
    <w:p w14:paraId="07C440C6" w14:textId="062D8731" w:rsidR="00DC0AAD" w:rsidRPr="00FA476C" w:rsidRDefault="00DC0AAD" w:rsidP="00DC2B22">
      <w:pPr>
        <w:autoSpaceDE w:val="0"/>
        <w:autoSpaceDN w:val="0"/>
        <w:adjustRightInd w:val="0"/>
        <w:spacing w:beforeLines="120" w:before="288" w:line="240" w:lineRule="auto"/>
        <w:contextualSpacing/>
        <w:jc w:val="both"/>
        <w:rPr>
          <w:rFonts w:ascii="Calibri" w:hAnsi="Calibri" w:cs="Calibri"/>
        </w:rPr>
      </w:pPr>
      <w:r w:rsidRPr="00FA476C">
        <w:rPr>
          <w:rFonts w:ascii="Calibri" w:hAnsi="Calibri" w:cs="Calibri"/>
        </w:rPr>
        <w:t xml:space="preserve">Il rapporto </w:t>
      </w:r>
      <w:r w:rsidR="00E32D5D" w:rsidRPr="00FA476C">
        <w:rPr>
          <w:rFonts w:ascii="Calibri" w:hAnsi="Calibri" w:cs="Calibri"/>
        </w:rPr>
        <w:t xml:space="preserve">monitora, </w:t>
      </w:r>
      <w:r w:rsidRPr="00FA476C">
        <w:rPr>
          <w:rFonts w:ascii="Calibri" w:hAnsi="Calibri" w:cs="Calibri"/>
        </w:rPr>
        <w:t>inoltre</w:t>
      </w:r>
      <w:r w:rsidR="00E32D5D" w:rsidRPr="00FA476C">
        <w:rPr>
          <w:rFonts w:ascii="Calibri" w:hAnsi="Calibri" w:cs="Calibri"/>
        </w:rPr>
        <w:t>,</w:t>
      </w:r>
      <w:r w:rsidRPr="00FA476C">
        <w:rPr>
          <w:rFonts w:ascii="Calibri" w:hAnsi="Calibri" w:cs="Calibri"/>
        </w:rPr>
        <w:t xml:space="preserve"> l’evoluzione dell</w:t>
      </w:r>
      <w:r w:rsidR="00E32D5D" w:rsidRPr="00FA476C">
        <w:rPr>
          <w:rFonts w:ascii="Calibri" w:hAnsi="Calibri" w:cs="Calibri"/>
        </w:rPr>
        <w:t>’</w:t>
      </w:r>
      <w:r w:rsidRPr="00FA476C">
        <w:rPr>
          <w:rFonts w:ascii="Calibri" w:hAnsi="Calibri" w:cs="Calibri"/>
        </w:rPr>
        <w:t>uscit</w:t>
      </w:r>
      <w:r w:rsidR="00E32D5D" w:rsidRPr="00FA476C">
        <w:rPr>
          <w:rFonts w:ascii="Calibri" w:hAnsi="Calibri" w:cs="Calibri"/>
        </w:rPr>
        <w:t>a</w:t>
      </w:r>
      <w:r w:rsidRPr="00FA476C">
        <w:rPr>
          <w:rFonts w:ascii="Calibri" w:hAnsi="Calibri" w:cs="Calibri"/>
        </w:rPr>
        <w:t xml:space="preserve"> d</w:t>
      </w:r>
      <w:r w:rsidR="00E32D5D" w:rsidRPr="00FA476C">
        <w:rPr>
          <w:rFonts w:ascii="Calibri" w:hAnsi="Calibri" w:cs="Calibri"/>
        </w:rPr>
        <w:t>a</w:t>
      </w:r>
      <w:r w:rsidRPr="00FA476C">
        <w:rPr>
          <w:rFonts w:ascii="Calibri" w:hAnsi="Calibri" w:cs="Calibri"/>
        </w:rPr>
        <w:t>l mercato delle PMI. Le stime del 2022 confermano la prosecuzione del congelamento</w:t>
      </w:r>
      <w:r w:rsidR="005C2BDE" w:rsidRPr="00FA476C">
        <w:rPr>
          <w:rFonts w:ascii="Calibri" w:hAnsi="Calibri" w:cs="Calibri"/>
        </w:rPr>
        <w:t xml:space="preserve"> de</w:t>
      </w:r>
      <w:r w:rsidRPr="00FA476C">
        <w:rPr>
          <w:rFonts w:ascii="Calibri" w:hAnsi="Calibri" w:cs="Calibri"/>
        </w:rPr>
        <w:t>lle chiusure che si osserva dal 2019; i fallimenti calano del 34</w:t>
      </w:r>
      <w:r w:rsidR="003E0A72" w:rsidRPr="00FA476C">
        <w:rPr>
          <w:rFonts w:ascii="Calibri" w:hAnsi="Calibri" w:cs="Calibri"/>
        </w:rPr>
        <w:t>,</w:t>
      </w:r>
      <w:r w:rsidRPr="00FA476C">
        <w:rPr>
          <w:rFonts w:ascii="Calibri" w:hAnsi="Calibri" w:cs="Calibri"/>
        </w:rPr>
        <w:t>7%</w:t>
      </w:r>
      <w:r w:rsidR="003C7A66" w:rsidRPr="00FA476C">
        <w:rPr>
          <w:rFonts w:ascii="Calibri" w:hAnsi="Calibri" w:cs="Calibri"/>
        </w:rPr>
        <w:t xml:space="preserve"> su base annua</w:t>
      </w:r>
      <w:r w:rsidRPr="00FA476C">
        <w:rPr>
          <w:rFonts w:ascii="Calibri" w:hAnsi="Calibri" w:cs="Calibri"/>
        </w:rPr>
        <w:t xml:space="preserve"> (661 nel 2022 vs 1013</w:t>
      </w:r>
      <w:r w:rsidR="003C7A66" w:rsidRPr="00FA476C">
        <w:rPr>
          <w:rFonts w:ascii="Calibri" w:hAnsi="Calibri" w:cs="Calibri"/>
        </w:rPr>
        <w:t xml:space="preserve"> nel 2021</w:t>
      </w:r>
      <w:r w:rsidRPr="00FA476C">
        <w:rPr>
          <w:rFonts w:ascii="Calibri" w:hAnsi="Calibri" w:cs="Calibri"/>
        </w:rPr>
        <w:t>) e le procedure non fallimentari del 49</w:t>
      </w:r>
      <w:r w:rsidR="003E0A72" w:rsidRPr="00FA476C">
        <w:rPr>
          <w:rFonts w:ascii="Calibri" w:hAnsi="Calibri" w:cs="Calibri"/>
        </w:rPr>
        <w:t>,</w:t>
      </w:r>
      <w:r w:rsidRPr="00FA476C">
        <w:rPr>
          <w:rFonts w:ascii="Calibri" w:hAnsi="Calibri" w:cs="Calibri"/>
        </w:rPr>
        <w:t>4% (da 330 nel 2021 a 167 nel 2022). Il calo dei fallimenti è particolarmente marcato nel Mezzogiorno (-45</w:t>
      </w:r>
      <w:r w:rsidR="003E0A72" w:rsidRPr="00FA476C">
        <w:rPr>
          <w:rFonts w:ascii="Calibri" w:hAnsi="Calibri" w:cs="Calibri"/>
        </w:rPr>
        <w:t>,</w:t>
      </w:r>
      <w:r w:rsidRPr="00FA476C">
        <w:rPr>
          <w:rFonts w:ascii="Calibri" w:hAnsi="Calibri" w:cs="Calibri"/>
        </w:rPr>
        <w:t>2%, da 230 a 126) e nel Nord-Ovest (-42</w:t>
      </w:r>
      <w:r w:rsidR="003E0A72" w:rsidRPr="00FA476C">
        <w:rPr>
          <w:rFonts w:ascii="Calibri" w:hAnsi="Calibri" w:cs="Calibri"/>
        </w:rPr>
        <w:t>,</w:t>
      </w:r>
      <w:r w:rsidRPr="00FA476C">
        <w:rPr>
          <w:rFonts w:ascii="Calibri" w:hAnsi="Calibri" w:cs="Calibri"/>
        </w:rPr>
        <w:t>2% da 341 a 197), mentre le procedure non fallimentari si riducono particolarmente nel Nord-Est (-60</w:t>
      </w:r>
      <w:r w:rsidR="003E0A72" w:rsidRPr="00FA476C">
        <w:rPr>
          <w:rFonts w:ascii="Calibri" w:hAnsi="Calibri" w:cs="Calibri"/>
        </w:rPr>
        <w:t>,</w:t>
      </w:r>
      <w:r w:rsidRPr="00FA476C">
        <w:rPr>
          <w:rFonts w:ascii="Calibri" w:hAnsi="Calibri" w:cs="Calibri"/>
        </w:rPr>
        <w:t>2%) e nel Centro (-55</w:t>
      </w:r>
      <w:r w:rsidR="003E0A72" w:rsidRPr="00FA476C">
        <w:rPr>
          <w:rFonts w:ascii="Calibri" w:hAnsi="Calibri" w:cs="Calibri"/>
        </w:rPr>
        <w:t>,</w:t>
      </w:r>
      <w:r w:rsidRPr="00FA476C">
        <w:rPr>
          <w:rFonts w:ascii="Calibri" w:hAnsi="Calibri" w:cs="Calibri"/>
        </w:rPr>
        <w:t>3%)</w:t>
      </w:r>
      <w:r w:rsidR="00713E0B" w:rsidRPr="00FA476C">
        <w:rPr>
          <w:rFonts w:ascii="Calibri" w:hAnsi="Calibri" w:cs="Calibri"/>
        </w:rPr>
        <w:t>.</w:t>
      </w:r>
    </w:p>
    <w:p w14:paraId="3882AA19" w14:textId="77777777" w:rsidR="00DC0AAD" w:rsidRPr="00FA476C" w:rsidRDefault="00DC0AAD" w:rsidP="00DC2B22">
      <w:pPr>
        <w:autoSpaceDE w:val="0"/>
        <w:autoSpaceDN w:val="0"/>
        <w:adjustRightInd w:val="0"/>
        <w:spacing w:beforeLines="120" w:before="288" w:after="0" w:line="240" w:lineRule="auto"/>
        <w:contextualSpacing/>
        <w:jc w:val="both"/>
        <w:rPr>
          <w:rFonts w:ascii="Calibri" w:hAnsi="Calibri" w:cs="Calibri"/>
          <w:kern w:val="0"/>
        </w:rPr>
      </w:pPr>
    </w:p>
    <w:p w14:paraId="268964F4" w14:textId="2BD0A517" w:rsidR="00E32D5D" w:rsidRPr="00FA476C" w:rsidRDefault="00647C35" w:rsidP="00DC2B22">
      <w:pPr>
        <w:spacing w:beforeLines="120" w:before="288" w:after="0" w:line="240" w:lineRule="auto"/>
        <w:contextualSpacing/>
        <w:jc w:val="both"/>
        <w:rPr>
          <w:rFonts w:ascii="Calibri" w:hAnsi="Calibri" w:cs="Calibri"/>
        </w:rPr>
      </w:pPr>
      <w:r w:rsidRPr="00FA476C">
        <w:rPr>
          <w:rFonts w:ascii="Calibri" w:hAnsi="Calibri" w:cs="Calibri"/>
        </w:rPr>
        <w:t>Il Rapporto viene presentato in un momento complicato per le PMI italiane</w:t>
      </w:r>
      <w:r w:rsidR="00023D53" w:rsidRPr="00FA476C">
        <w:rPr>
          <w:rFonts w:ascii="Calibri" w:hAnsi="Calibri" w:cs="Calibri"/>
        </w:rPr>
        <w:t xml:space="preserve">: </w:t>
      </w:r>
      <w:r w:rsidRPr="00FA476C">
        <w:rPr>
          <w:rFonts w:ascii="Calibri" w:hAnsi="Calibri" w:cs="Calibri"/>
          <w:b/>
          <w:bCs/>
        </w:rPr>
        <w:t>il persistere dell’inflazione ben oltre i propri obiettivi di mandato sta spingendo la BCE a un continuo e deciso rialzo dei tassi</w:t>
      </w:r>
      <w:r w:rsidRPr="00FA476C">
        <w:rPr>
          <w:rFonts w:ascii="Calibri" w:hAnsi="Calibri" w:cs="Calibri"/>
        </w:rPr>
        <w:t xml:space="preserve">, che si ripercuote sul costo dei finanziamenti alle imprese e, indirettamente, sul credito richiesto e su quello concesso, così come sugli investimenti. Dopo quasi otto anni di tassi di interesse sulle operazioni di rifinanziamento principali inferiori o pari a 0,25 punti, in un anno (da luglio 2022) si sono raggiunti oggi 4,00 punti. </w:t>
      </w:r>
      <w:r w:rsidRPr="00FA476C">
        <w:rPr>
          <w:rFonts w:ascii="Calibri" w:hAnsi="Calibri" w:cs="Calibri"/>
          <w:b/>
          <w:bCs/>
        </w:rPr>
        <w:t>I processi di ristrutturazione aziendale degli ultimi dieci anni, ancorché incompleti e differenziati tra settori e territori, avevano reso più solido il tessuto produttivo</w:t>
      </w:r>
      <w:r w:rsidR="00E32D5D" w:rsidRPr="00FA476C">
        <w:rPr>
          <w:rFonts w:ascii="Calibri" w:hAnsi="Calibri" w:cs="Calibri"/>
          <w:b/>
          <w:bCs/>
        </w:rPr>
        <w:t xml:space="preserve"> italiano</w:t>
      </w:r>
      <w:r w:rsidRPr="00FA476C">
        <w:rPr>
          <w:rFonts w:ascii="Calibri" w:hAnsi="Calibri" w:cs="Calibri"/>
          <w:b/>
          <w:bCs/>
        </w:rPr>
        <w:t xml:space="preserve">. </w:t>
      </w:r>
      <w:r w:rsidRPr="00FA476C">
        <w:rPr>
          <w:rFonts w:ascii="Calibri" w:hAnsi="Calibri" w:cs="Calibri"/>
        </w:rPr>
        <w:t xml:space="preserve">La crisi che ha caratterizzato </w:t>
      </w:r>
      <w:r w:rsidR="00E32D5D" w:rsidRPr="00FA476C">
        <w:rPr>
          <w:rFonts w:ascii="Calibri" w:hAnsi="Calibri" w:cs="Calibri"/>
        </w:rPr>
        <w:t>-</w:t>
      </w:r>
      <w:r w:rsidRPr="00FA476C">
        <w:rPr>
          <w:rFonts w:ascii="Calibri" w:hAnsi="Calibri" w:cs="Calibri"/>
        </w:rPr>
        <w:t xml:space="preserve"> ed è seguita - ai periodi di lockdown ha però fatto fare alle imprese un passo indietro di 4 anni nel processo di rafforzamento dei bilanci osservato nei 10 anni </w:t>
      </w:r>
      <w:proofErr w:type="spellStart"/>
      <w:r w:rsidRPr="00FA476C">
        <w:rPr>
          <w:rFonts w:ascii="Calibri" w:hAnsi="Calibri" w:cs="Calibri"/>
        </w:rPr>
        <w:t>pre</w:t>
      </w:r>
      <w:proofErr w:type="spellEnd"/>
      <w:r w:rsidRPr="00FA476C">
        <w:rPr>
          <w:rFonts w:ascii="Calibri" w:hAnsi="Calibri" w:cs="Calibri"/>
        </w:rPr>
        <w:t xml:space="preserve">-pandemia. Questo ha riguardato in particolare le PMI. </w:t>
      </w:r>
    </w:p>
    <w:p w14:paraId="1D1256E9" w14:textId="77777777" w:rsidR="00E32D5D" w:rsidRPr="00FA476C" w:rsidRDefault="00E32D5D" w:rsidP="00DC2B22">
      <w:pPr>
        <w:spacing w:beforeLines="120" w:before="288" w:after="0" w:line="240" w:lineRule="auto"/>
        <w:contextualSpacing/>
        <w:jc w:val="both"/>
        <w:rPr>
          <w:rFonts w:ascii="Calibri" w:hAnsi="Calibri" w:cs="Calibri"/>
        </w:rPr>
      </w:pPr>
    </w:p>
    <w:p w14:paraId="10BC44F9" w14:textId="65E204BB" w:rsidR="00647C35" w:rsidRPr="00FA476C" w:rsidRDefault="00647C35" w:rsidP="00DC2B22">
      <w:pPr>
        <w:spacing w:beforeLines="120" w:before="288" w:after="0" w:line="240" w:lineRule="auto"/>
        <w:contextualSpacing/>
        <w:jc w:val="both"/>
        <w:rPr>
          <w:rFonts w:ascii="Calibri" w:hAnsi="Calibri" w:cs="Calibri"/>
        </w:rPr>
      </w:pPr>
      <w:r w:rsidRPr="00FA476C">
        <w:rPr>
          <w:rFonts w:ascii="Calibri" w:hAnsi="Calibri" w:cs="Calibri"/>
        </w:rPr>
        <w:lastRenderedPageBreak/>
        <w:t xml:space="preserve">A fronte di queste difficoltà, aumentano anche le sfide per il futuro. </w:t>
      </w:r>
      <w:r w:rsidRPr="00FA476C">
        <w:rPr>
          <w:rFonts w:ascii="Calibri" w:hAnsi="Calibri" w:cs="Calibri"/>
          <w:b/>
          <w:bCs/>
        </w:rPr>
        <w:t xml:space="preserve">La duplice transizione, ormai ineludibile, richiede ingenti investimenti a tutti i livelli della filiera, così come competenze adeguate agli obiettivi. </w:t>
      </w:r>
      <w:r w:rsidRPr="00FA476C">
        <w:rPr>
          <w:rFonts w:ascii="Calibri" w:hAnsi="Calibri" w:cs="Calibri"/>
        </w:rPr>
        <w:t xml:space="preserve">Tanto il mercato quanto regole sempre più stringenti impongono anche alle </w:t>
      </w:r>
      <w:r w:rsidR="004064A3" w:rsidRPr="00FA476C">
        <w:rPr>
          <w:rFonts w:ascii="Calibri" w:hAnsi="Calibri" w:cs="Calibri"/>
        </w:rPr>
        <w:t xml:space="preserve">PMI </w:t>
      </w:r>
      <w:r w:rsidRPr="00FA476C">
        <w:rPr>
          <w:rFonts w:ascii="Calibri" w:hAnsi="Calibri" w:cs="Calibri"/>
        </w:rPr>
        <w:t xml:space="preserve">un cambio nei propri processi, che a loro volta richiede più managerializzazione, più formazione e più investimenti. </w:t>
      </w:r>
    </w:p>
    <w:p w14:paraId="21AEABDF" w14:textId="77777777" w:rsidR="00647C35" w:rsidRPr="00FA476C" w:rsidRDefault="00647C35" w:rsidP="00DC2B22">
      <w:pPr>
        <w:spacing w:beforeLines="120" w:before="288" w:after="0" w:line="240" w:lineRule="auto"/>
        <w:contextualSpacing/>
        <w:jc w:val="both"/>
        <w:rPr>
          <w:rFonts w:ascii="Calibri" w:hAnsi="Calibri" w:cs="Calibri"/>
        </w:rPr>
      </w:pPr>
    </w:p>
    <w:p w14:paraId="45045251" w14:textId="38610D78" w:rsidR="00647C35" w:rsidRPr="00FA476C" w:rsidRDefault="00647C35" w:rsidP="00DC2B22">
      <w:pPr>
        <w:spacing w:beforeLines="120" w:before="288" w:after="0" w:line="240" w:lineRule="auto"/>
        <w:contextualSpacing/>
        <w:jc w:val="both"/>
        <w:rPr>
          <w:rFonts w:ascii="Calibri" w:hAnsi="Calibri" w:cs="Calibri"/>
        </w:rPr>
      </w:pPr>
      <w:r w:rsidRPr="00FA476C">
        <w:rPr>
          <w:rFonts w:ascii="Calibri" w:hAnsi="Calibri" w:cs="Calibri"/>
          <w:b/>
          <w:bCs/>
        </w:rPr>
        <w:t>In questo contesto, per aiutare le imprese a crescere è necessari</w:t>
      </w:r>
      <w:r w:rsidR="00023D53" w:rsidRPr="00FA476C">
        <w:rPr>
          <w:rFonts w:ascii="Calibri" w:hAnsi="Calibri" w:cs="Calibri"/>
          <w:b/>
          <w:bCs/>
        </w:rPr>
        <w:t>o</w:t>
      </w:r>
      <w:r w:rsidRPr="00FA476C">
        <w:rPr>
          <w:rFonts w:ascii="Calibri" w:hAnsi="Calibri" w:cs="Calibri"/>
          <w:b/>
          <w:bCs/>
        </w:rPr>
        <w:t xml:space="preserve"> un disegno di politica economica e industriale coerente</w:t>
      </w:r>
      <w:r w:rsidR="00E32D5D" w:rsidRPr="00FA476C">
        <w:rPr>
          <w:rFonts w:ascii="Calibri" w:hAnsi="Calibri" w:cs="Calibri"/>
          <w:b/>
          <w:bCs/>
        </w:rPr>
        <w:t xml:space="preserve"> </w:t>
      </w:r>
      <w:r w:rsidRPr="00FA476C">
        <w:rPr>
          <w:rFonts w:ascii="Calibri" w:hAnsi="Calibri" w:cs="Calibri"/>
          <w:b/>
          <w:bCs/>
        </w:rPr>
        <w:t xml:space="preserve">e di </w:t>
      </w:r>
      <w:r w:rsidR="00E32D5D" w:rsidRPr="00FA476C">
        <w:rPr>
          <w:rFonts w:ascii="Calibri" w:hAnsi="Calibri" w:cs="Calibri"/>
          <w:b/>
          <w:bCs/>
        </w:rPr>
        <w:t>medio-</w:t>
      </w:r>
      <w:r w:rsidRPr="00FA476C">
        <w:rPr>
          <w:rFonts w:ascii="Calibri" w:hAnsi="Calibri" w:cs="Calibri"/>
          <w:b/>
          <w:bCs/>
        </w:rPr>
        <w:t xml:space="preserve">lungo periodo, che agisca </w:t>
      </w:r>
      <w:r w:rsidRPr="00FA476C">
        <w:rPr>
          <w:rFonts w:ascii="Calibri" w:hAnsi="Calibri" w:cs="Calibri"/>
          <w:b/>
          <w:bCs/>
          <w:i/>
        </w:rPr>
        <w:t>in primis</w:t>
      </w:r>
      <w:r w:rsidRPr="00FA476C">
        <w:rPr>
          <w:rFonts w:ascii="Calibri" w:hAnsi="Calibri" w:cs="Calibri"/>
          <w:b/>
          <w:bCs/>
        </w:rPr>
        <w:t xml:space="preserve"> correggendo le criticità </w:t>
      </w:r>
      <w:r w:rsidR="004064A3" w:rsidRPr="00FA476C">
        <w:rPr>
          <w:rFonts w:ascii="Calibri" w:hAnsi="Calibri" w:cs="Calibri"/>
          <w:b/>
          <w:bCs/>
        </w:rPr>
        <w:t>strutturali</w:t>
      </w:r>
      <w:r w:rsidRPr="00FA476C">
        <w:rPr>
          <w:rFonts w:ascii="Calibri" w:hAnsi="Calibri" w:cs="Calibri"/>
          <w:b/>
          <w:bCs/>
        </w:rPr>
        <w:t xml:space="preserve"> con cui devono fare i conti le PMI</w:t>
      </w:r>
      <w:r w:rsidR="00E32D5D" w:rsidRPr="00FA476C">
        <w:rPr>
          <w:rFonts w:ascii="Calibri" w:hAnsi="Calibri" w:cs="Calibri"/>
          <w:b/>
          <w:bCs/>
        </w:rPr>
        <w:t xml:space="preserve"> e</w:t>
      </w:r>
      <w:r w:rsidRPr="00FA476C">
        <w:rPr>
          <w:rFonts w:ascii="Calibri" w:hAnsi="Calibri" w:cs="Calibri"/>
          <w:b/>
          <w:bCs/>
        </w:rPr>
        <w:t xml:space="preserve"> mediante incentivi mirati che risolvano o attutiscano i principali deficit.</w:t>
      </w:r>
      <w:r w:rsidRPr="00FA476C">
        <w:rPr>
          <w:rFonts w:ascii="Calibri" w:hAnsi="Calibri" w:cs="Calibri"/>
        </w:rPr>
        <w:t xml:space="preserve"> </w:t>
      </w:r>
    </w:p>
    <w:p w14:paraId="51D6D221" w14:textId="77777777" w:rsidR="00647C35" w:rsidRPr="00FA476C" w:rsidRDefault="00647C35" w:rsidP="00DC2B22">
      <w:pPr>
        <w:spacing w:beforeLines="120" w:before="288" w:after="0" w:line="240" w:lineRule="auto"/>
        <w:contextualSpacing/>
        <w:jc w:val="both"/>
        <w:rPr>
          <w:rFonts w:ascii="Calibri" w:hAnsi="Calibri" w:cs="Calibri"/>
        </w:rPr>
      </w:pPr>
    </w:p>
    <w:p w14:paraId="2B92FFDC" w14:textId="1B8E689A" w:rsidR="00DA60C1" w:rsidRPr="00FA476C" w:rsidRDefault="00023D53" w:rsidP="004B06F2">
      <w:pPr>
        <w:spacing w:beforeLines="120" w:before="288" w:after="0" w:line="240" w:lineRule="auto"/>
        <w:contextualSpacing/>
        <w:jc w:val="both"/>
        <w:rPr>
          <w:rFonts w:ascii="Calibri" w:eastAsia="Arial" w:hAnsi="Calibri" w:cs="Calibri"/>
        </w:rPr>
      </w:pPr>
      <w:r w:rsidRPr="00FA476C">
        <w:rPr>
          <w:rFonts w:ascii="Calibri" w:hAnsi="Calibri" w:cs="Calibri"/>
        </w:rPr>
        <w:t>Per raggiungere questi obiettivi</w:t>
      </w:r>
      <w:r w:rsidR="004064A3" w:rsidRPr="00FA476C">
        <w:rPr>
          <w:rFonts w:ascii="Calibri" w:hAnsi="Calibri" w:cs="Calibri"/>
        </w:rPr>
        <w:t xml:space="preserve"> e superare le criticità che frenano la competitività delle imprese</w:t>
      </w:r>
      <w:r w:rsidRPr="00FA476C">
        <w:rPr>
          <w:rFonts w:ascii="Calibri" w:hAnsi="Calibri" w:cs="Calibri"/>
        </w:rPr>
        <w:t xml:space="preserve">, il PNRR </w:t>
      </w:r>
      <w:r w:rsidR="004064A3" w:rsidRPr="00FA476C">
        <w:rPr>
          <w:rFonts w:ascii="Calibri" w:hAnsi="Calibri" w:cs="Calibri"/>
        </w:rPr>
        <w:t xml:space="preserve">è </w:t>
      </w:r>
      <w:r w:rsidRPr="00FA476C">
        <w:rPr>
          <w:rFonts w:ascii="Calibri" w:hAnsi="Calibri" w:cs="Calibri"/>
        </w:rPr>
        <w:t>un’opportunità storica</w:t>
      </w:r>
      <w:r w:rsidR="002C499C" w:rsidRPr="00FA476C">
        <w:rPr>
          <w:rFonts w:ascii="Calibri" w:hAnsi="Calibri" w:cs="Calibri"/>
        </w:rPr>
        <w:t>.</w:t>
      </w:r>
      <w:r w:rsidRPr="00FA476C">
        <w:rPr>
          <w:rFonts w:ascii="Calibri" w:hAnsi="Calibri" w:cs="Calibri"/>
        </w:rPr>
        <w:t xml:space="preserve"> L</w:t>
      </w:r>
      <w:r w:rsidR="00647C35" w:rsidRPr="00FA476C">
        <w:rPr>
          <w:rFonts w:ascii="Calibri" w:hAnsi="Calibri" w:cs="Calibri"/>
        </w:rPr>
        <w:t>a prima azione che il PNRR deve sostenere è l’implementazione delle riforme: del lavoro, che includa le politiche attive; del sistema scolastico</w:t>
      </w:r>
      <w:r w:rsidR="00E32D5D" w:rsidRPr="00FA476C">
        <w:rPr>
          <w:rFonts w:ascii="Calibri" w:hAnsi="Calibri" w:cs="Calibri"/>
        </w:rPr>
        <w:t xml:space="preserve">, del sistema giudiziario </w:t>
      </w:r>
      <w:r w:rsidR="00647C35" w:rsidRPr="00FA476C">
        <w:rPr>
          <w:rFonts w:ascii="Calibri" w:hAnsi="Calibri" w:cs="Calibri"/>
        </w:rPr>
        <w:t xml:space="preserve">e del fisco. </w:t>
      </w:r>
      <w:r w:rsidR="00E32D5D" w:rsidRPr="00FA476C">
        <w:rPr>
          <w:rFonts w:ascii="Calibri" w:hAnsi="Calibri" w:cs="Calibri"/>
        </w:rPr>
        <w:t>O</w:t>
      </w:r>
      <w:r w:rsidR="00647C35" w:rsidRPr="00FA476C">
        <w:rPr>
          <w:rFonts w:ascii="Calibri" w:hAnsi="Calibri" w:cs="Calibri"/>
        </w:rPr>
        <w:t xml:space="preserve">ltre alle riforme, il PNRR gioca un ruolo </w:t>
      </w:r>
      <w:r w:rsidR="00E32D5D" w:rsidRPr="00FA476C">
        <w:rPr>
          <w:rFonts w:ascii="Calibri" w:hAnsi="Calibri" w:cs="Calibri"/>
        </w:rPr>
        <w:t xml:space="preserve">centrale </w:t>
      </w:r>
      <w:r w:rsidR="00647C35" w:rsidRPr="00FA476C">
        <w:rPr>
          <w:rFonts w:ascii="Calibri" w:hAnsi="Calibri" w:cs="Calibri"/>
        </w:rPr>
        <w:t>per la realizzazione degli investimenti a sostegno della competitività, non solo del sistema imprenditoriale</w:t>
      </w:r>
      <w:r w:rsidR="00E32D5D" w:rsidRPr="00FA476C">
        <w:rPr>
          <w:rFonts w:ascii="Calibri" w:hAnsi="Calibri" w:cs="Calibri"/>
        </w:rPr>
        <w:t>,</w:t>
      </w:r>
      <w:r w:rsidR="00647C35" w:rsidRPr="00FA476C">
        <w:rPr>
          <w:rFonts w:ascii="Calibri" w:hAnsi="Calibri" w:cs="Calibri"/>
        </w:rPr>
        <w:t xml:space="preserve"> ma di tutto il territorio.</w:t>
      </w:r>
      <w:r w:rsidR="00331BB9" w:rsidRPr="00FA476C">
        <w:rPr>
          <w:rFonts w:ascii="Calibri" w:hAnsi="Calibri" w:cs="Calibri"/>
        </w:rPr>
        <w:t xml:space="preserve"> </w:t>
      </w:r>
      <w:r w:rsidR="00DA60C1" w:rsidRPr="00FA476C">
        <w:rPr>
          <w:rFonts w:ascii="Calibri" w:eastAsia="Arial" w:hAnsi="Calibri" w:cs="Calibri"/>
          <w:b/>
          <w:bCs/>
        </w:rPr>
        <w:t xml:space="preserve">Sia riforme che investimenti </w:t>
      </w:r>
      <w:r w:rsidR="002C499C" w:rsidRPr="00FA476C">
        <w:rPr>
          <w:rFonts w:ascii="Calibri" w:eastAsia="Arial" w:hAnsi="Calibri" w:cs="Calibri"/>
          <w:b/>
          <w:bCs/>
        </w:rPr>
        <w:t>hanno ora</w:t>
      </w:r>
      <w:r w:rsidR="00DA60C1" w:rsidRPr="00FA476C">
        <w:rPr>
          <w:rFonts w:ascii="Calibri" w:eastAsia="Arial" w:hAnsi="Calibri" w:cs="Calibri"/>
          <w:b/>
          <w:bCs/>
        </w:rPr>
        <w:t xml:space="preserve"> bisogno di una decisa spinta verso l’attuazione. Sul fronte degli investimenti, oltre ai ritardi strutturali, si registra una situazione di incertezza, legata soprattutto al tema delle “rimodulazioni”.</w:t>
      </w:r>
      <w:r w:rsidR="00DA60C1" w:rsidRPr="00FA476C">
        <w:rPr>
          <w:rFonts w:ascii="Calibri" w:eastAsia="Arial" w:hAnsi="Calibri" w:cs="Calibri"/>
        </w:rPr>
        <w:t xml:space="preserve"> </w:t>
      </w:r>
    </w:p>
    <w:p w14:paraId="30AD867A" w14:textId="77777777" w:rsidR="002C499C" w:rsidRPr="00FA476C" w:rsidRDefault="002C499C" w:rsidP="00DA60C1">
      <w:pPr>
        <w:spacing w:after="0" w:line="240" w:lineRule="auto"/>
        <w:contextualSpacing/>
        <w:jc w:val="both"/>
        <w:rPr>
          <w:rFonts w:ascii="Calibri" w:eastAsia="Arial" w:hAnsi="Calibri" w:cs="Calibri"/>
        </w:rPr>
      </w:pPr>
    </w:p>
    <w:p w14:paraId="16E90A77" w14:textId="28A7A115" w:rsidR="002F08FB" w:rsidRPr="00FA476C" w:rsidRDefault="002F08FB" w:rsidP="00DA60C1">
      <w:pPr>
        <w:spacing w:after="0" w:line="240" w:lineRule="auto"/>
        <w:contextualSpacing/>
        <w:jc w:val="both"/>
        <w:rPr>
          <w:rFonts w:ascii="Calibri" w:eastAsia="Arial" w:hAnsi="Calibri" w:cs="Calibri"/>
        </w:rPr>
      </w:pPr>
      <w:r w:rsidRPr="00FA476C">
        <w:rPr>
          <w:rFonts w:ascii="Calibri" w:eastAsia="Arial" w:hAnsi="Calibri" w:cs="Calibri"/>
        </w:rPr>
        <w:t xml:space="preserve">La prima occasione di aggiornamento del Piano è rappresentata da </w:t>
      </w:r>
      <w:proofErr w:type="spellStart"/>
      <w:r w:rsidRPr="00FA476C">
        <w:rPr>
          <w:rFonts w:ascii="Calibri" w:eastAsia="Arial" w:hAnsi="Calibri" w:cs="Calibri"/>
        </w:rPr>
        <w:t>REPowerEu</w:t>
      </w:r>
      <w:proofErr w:type="spellEnd"/>
      <w:r w:rsidRPr="00FA476C">
        <w:rPr>
          <w:rFonts w:ascii="Calibri" w:eastAsia="Arial" w:hAnsi="Calibri" w:cs="Calibri"/>
        </w:rPr>
        <w:t xml:space="preserve">. </w:t>
      </w:r>
      <w:r w:rsidR="004854A2" w:rsidRPr="00FA476C">
        <w:rPr>
          <w:rFonts w:ascii="Calibri" w:eastAsia="Arial" w:hAnsi="Calibri" w:cs="Calibri"/>
          <w:b/>
          <w:bCs/>
        </w:rPr>
        <w:t xml:space="preserve">La priorità dovrebbe essere focalizzata su interventi da attuare con strumenti automatici, che possano, da un lato, sostenere le imprese ad affrontare i costi della trasformazione </w:t>
      </w:r>
      <w:r w:rsidR="004854A2" w:rsidRPr="00FA476C">
        <w:rPr>
          <w:rFonts w:ascii="Calibri" w:eastAsia="Arial" w:hAnsi="Calibri" w:cs="Calibri"/>
          <w:b/>
          <w:bCs/>
          <w:i/>
          <w:iCs/>
        </w:rPr>
        <w:t>green</w:t>
      </w:r>
      <w:r w:rsidR="004854A2" w:rsidRPr="00FA476C">
        <w:rPr>
          <w:rFonts w:ascii="Calibri" w:eastAsia="Arial" w:hAnsi="Calibri" w:cs="Calibri"/>
        </w:rPr>
        <w:t xml:space="preserve"> </w:t>
      </w:r>
      <w:r w:rsidR="004854A2" w:rsidRPr="00FA476C">
        <w:rPr>
          <w:rFonts w:ascii="Calibri" w:eastAsia="Arial" w:hAnsi="Calibri" w:cs="Calibri"/>
          <w:b/>
          <w:bCs/>
        </w:rPr>
        <w:t>e</w:t>
      </w:r>
      <w:r w:rsidR="004854A2" w:rsidRPr="00FA476C">
        <w:rPr>
          <w:rFonts w:ascii="Calibri" w:eastAsia="Arial" w:hAnsi="Calibri" w:cs="Calibri"/>
        </w:rPr>
        <w:t xml:space="preserve">, dall’altro lato, favorire le condizioni di contesto a supporto di questo processo, tra cui </w:t>
      </w:r>
      <w:r w:rsidR="004854A2" w:rsidRPr="00FA476C">
        <w:rPr>
          <w:rFonts w:ascii="Calibri" w:eastAsia="Arial" w:hAnsi="Calibri" w:cs="Calibri"/>
          <w:b/>
          <w:bCs/>
        </w:rPr>
        <w:t>gli investimenti nel digitale e sulle competenze</w:t>
      </w:r>
      <w:r w:rsidR="004854A2" w:rsidRPr="00FA476C">
        <w:rPr>
          <w:rFonts w:ascii="Calibri" w:eastAsia="Arial" w:hAnsi="Calibri" w:cs="Calibri"/>
        </w:rPr>
        <w:t xml:space="preserve"> necessarie in quest’ottica. </w:t>
      </w:r>
    </w:p>
    <w:p w14:paraId="16AE5C96" w14:textId="77777777" w:rsidR="00DA60C1" w:rsidRPr="00FA476C" w:rsidRDefault="00DA60C1" w:rsidP="00DC2B22">
      <w:pPr>
        <w:spacing w:beforeLines="120" w:before="288" w:after="0" w:line="240" w:lineRule="auto"/>
        <w:contextualSpacing/>
        <w:jc w:val="both"/>
        <w:rPr>
          <w:rFonts w:ascii="Calibri" w:hAnsi="Calibri" w:cs="Calibri"/>
        </w:rPr>
      </w:pPr>
    </w:p>
    <w:p w14:paraId="20B8D1D1" w14:textId="1AF28866" w:rsidR="00647C35" w:rsidRPr="00FA476C" w:rsidRDefault="00647C35" w:rsidP="00DC2B22">
      <w:pPr>
        <w:spacing w:beforeLines="120" w:before="288" w:after="0" w:line="240" w:lineRule="auto"/>
        <w:contextualSpacing/>
        <w:jc w:val="both"/>
        <w:rPr>
          <w:rFonts w:ascii="Calibri" w:hAnsi="Calibri" w:cs="Calibri"/>
        </w:rPr>
      </w:pPr>
      <w:r w:rsidRPr="00FA476C">
        <w:rPr>
          <w:rFonts w:ascii="Calibri" w:hAnsi="Calibri" w:cs="Calibri"/>
          <w:b/>
          <w:bCs/>
        </w:rPr>
        <w:t xml:space="preserve">Quanto alla digitalizzazione, </w:t>
      </w:r>
      <w:r w:rsidR="004064A3" w:rsidRPr="00FA476C">
        <w:rPr>
          <w:rFonts w:ascii="Calibri" w:hAnsi="Calibri" w:cs="Calibri"/>
          <w:b/>
          <w:bCs/>
        </w:rPr>
        <w:t xml:space="preserve">è </w:t>
      </w:r>
      <w:r w:rsidRPr="00FA476C">
        <w:rPr>
          <w:rFonts w:ascii="Calibri" w:hAnsi="Calibri" w:cs="Calibri"/>
          <w:b/>
          <w:bCs/>
        </w:rPr>
        <w:t>necessari</w:t>
      </w:r>
      <w:r w:rsidR="004064A3" w:rsidRPr="00FA476C">
        <w:rPr>
          <w:rFonts w:ascii="Calibri" w:hAnsi="Calibri" w:cs="Calibri"/>
          <w:b/>
          <w:bCs/>
        </w:rPr>
        <w:t>a</w:t>
      </w:r>
      <w:r w:rsidRPr="00FA476C">
        <w:rPr>
          <w:rFonts w:ascii="Calibri" w:hAnsi="Calibri" w:cs="Calibri"/>
          <w:b/>
          <w:bCs/>
        </w:rPr>
        <w:t xml:space="preserve"> una revisione e un potenziamento degli strumenti a supporto della trasformazione digitale delle imprese, tenendo conto dei mutati obiettivi in ottica </w:t>
      </w:r>
      <w:r w:rsidR="00086B38" w:rsidRPr="00FA476C">
        <w:rPr>
          <w:rFonts w:ascii="Calibri" w:hAnsi="Calibri" w:cs="Calibri"/>
          <w:b/>
          <w:bCs/>
        </w:rPr>
        <w:t xml:space="preserve">di Industria </w:t>
      </w:r>
      <w:r w:rsidRPr="00FA476C">
        <w:rPr>
          <w:rFonts w:ascii="Calibri" w:hAnsi="Calibri" w:cs="Calibri"/>
          <w:b/>
          <w:bCs/>
        </w:rPr>
        <w:t>5.0</w:t>
      </w:r>
      <w:r w:rsidRPr="00FA476C">
        <w:rPr>
          <w:rFonts w:ascii="Calibri" w:hAnsi="Calibri" w:cs="Calibri"/>
        </w:rPr>
        <w:t xml:space="preserve"> e facendo tesoro dell’esperienza dei piani relativi al 4.0. Inoltre, per le PMI rimane di fondamentale valore il cosiddetto “network dell’innovazione 4.0”, composto da Competence center e Digital Innovation Hub, capaci di affiancare le imprese di minori dimensioni nell’analisi dei loro bisogni e nell’individuazione e applicazione delle tecnologie digitali più adatte. </w:t>
      </w:r>
    </w:p>
    <w:p w14:paraId="6D55FBB1" w14:textId="77777777" w:rsidR="00647C35" w:rsidRPr="00FA476C" w:rsidRDefault="00647C35" w:rsidP="00DC2B22">
      <w:pPr>
        <w:spacing w:beforeLines="120" w:before="288" w:after="0" w:line="240" w:lineRule="auto"/>
        <w:contextualSpacing/>
        <w:jc w:val="both"/>
        <w:rPr>
          <w:rFonts w:ascii="Calibri" w:hAnsi="Calibri" w:cs="Calibri"/>
        </w:rPr>
      </w:pPr>
    </w:p>
    <w:p w14:paraId="561D087F" w14:textId="4DBBC238" w:rsidR="00647C35" w:rsidRPr="00FA476C" w:rsidRDefault="00647C35" w:rsidP="00331BB9">
      <w:pPr>
        <w:spacing w:beforeLines="120" w:before="288" w:after="0" w:line="240" w:lineRule="auto"/>
        <w:contextualSpacing/>
        <w:jc w:val="both"/>
        <w:rPr>
          <w:rFonts w:ascii="Calibri" w:hAnsi="Calibri" w:cs="Calibri"/>
        </w:rPr>
      </w:pPr>
      <w:r w:rsidRPr="00FA476C">
        <w:rPr>
          <w:rFonts w:ascii="Calibri" w:hAnsi="Calibri" w:cs="Calibri"/>
        </w:rPr>
        <w:t>Un’altra linea di azione</w:t>
      </w:r>
      <w:r w:rsidR="00E32D5D" w:rsidRPr="00FA476C">
        <w:rPr>
          <w:rFonts w:ascii="Calibri" w:hAnsi="Calibri" w:cs="Calibri"/>
        </w:rPr>
        <w:t xml:space="preserve"> </w:t>
      </w:r>
      <w:r w:rsidRPr="00FA476C">
        <w:rPr>
          <w:rFonts w:ascii="Calibri" w:hAnsi="Calibri" w:cs="Calibri"/>
        </w:rPr>
        <w:t xml:space="preserve">attiene agli ambiti della ricerca e dell’innovazione. Le PMI affrontano sfide significative quando si tratta di sostenere i costi delle attività di ricerca e sviluppo. D’altro canto, grazie alla loro struttura flessibile, sono in grado di assorbire più facilmente le innovazioni di processo e di prodotto, anche se queste sono state sviluppate altrove. In tal senso, </w:t>
      </w:r>
      <w:r w:rsidRPr="00FA476C">
        <w:rPr>
          <w:rFonts w:ascii="Calibri" w:hAnsi="Calibri" w:cs="Calibri"/>
          <w:b/>
          <w:bCs/>
        </w:rPr>
        <w:t xml:space="preserve">è particolarmente apprezzabile </w:t>
      </w:r>
      <w:r w:rsidR="004064A3" w:rsidRPr="00FA476C">
        <w:rPr>
          <w:rFonts w:ascii="Calibri" w:hAnsi="Calibri" w:cs="Calibri"/>
          <w:b/>
          <w:bCs/>
        </w:rPr>
        <w:t xml:space="preserve">il </w:t>
      </w:r>
      <w:r w:rsidRPr="00FA476C">
        <w:rPr>
          <w:rFonts w:ascii="Calibri" w:hAnsi="Calibri" w:cs="Calibri"/>
          <w:b/>
          <w:bCs/>
        </w:rPr>
        <w:t xml:space="preserve">“credito d’imposta per investimenti in ricerca e sviluppo”, incentivo nazionale che prevede una maggiorazione per le imprese localizzate </w:t>
      </w:r>
      <w:r w:rsidR="004064A3" w:rsidRPr="00FA476C">
        <w:rPr>
          <w:rFonts w:ascii="Calibri" w:hAnsi="Calibri" w:cs="Calibri"/>
          <w:b/>
          <w:bCs/>
        </w:rPr>
        <w:t>al Sud</w:t>
      </w:r>
      <w:r w:rsidRPr="00FA476C">
        <w:rPr>
          <w:rFonts w:ascii="Calibri" w:hAnsi="Calibri" w:cs="Calibri"/>
          <w:b/>
          <w:bCs/>
        </w:rPr>
        <w:t xml:space="preserve">. </w:t>
      </w:r>
      <w:r w:rsidR="00331BB9" w:rsidRPr="00FA476C">
        <w:rPr>
          <w:rFonts w:ascii="Calibri" w:hAnsi="Calibri" w:cs="Calibri"/>
        </w:rPr>
        <w:t xml:space="preserve"> </w:t>
      </w:r>
    </w:p>
    <w:p w14:paraId="32DBCB53" w14:textId="77777777" w:rsidR="00647C35" w:rsidRPr="00FA476C" w:rsidRDefault="00647C35" w:rsidP="00DC2B22">
      <w:pPr>
        <w:spacing w:beforeLines="120" w:before="288" w:after="0" w:line="240" w:lineRule="auto"/>
        <w:contextualSpacing/>
        <w:jc w:val="both"/>
        <w:rPr>
          <w:rFonts w:ascii="Calibri" w:hAnsi="Calibri" w:cs="Calibri"/>
        </w:rPr>
      </w:pPr>
    </w:p>
    <w:p w14:paraId="5CFD2632" w14:textId="602B0217" w:rsidR="00647C35" w:rsidRPr="00FA476C" w:rsidRDefault="00647C35" w:rsidP="00DC2B22">
      <w:pPr>
        <w:spacing w:beforeLines="120" w:before="288" w:after="0" w:line="240" w:lineRule="auto"/>
        <w:contextualSpacing/>
        <w:jc w:val="both"/>
        <w:rPr>
          <w:rFonts w:ascii="Calibri" w:hAnsi="Calibri" w:cs="Calibri"/>
        </w:rPr>
      </w:pPr>
      <w:r w:rsidRPr="00FA476C">
        <w:rPr>
          <w:rFonts w:ascii="Calibri" w:hAnsi="Calibri" w:cs="Calibri"/>
        </w:rPr>
        <w:t xml:space="preserve">Sotto il profilo finanziario, </w:t>
      </w:r>
      <w:r w:rsidRPr="00FA476C">
        <w:rPr>
          <w:rFonts w:ascii="Calibri" w:hAnsi="Calibri" w:cs="Calibri"/>
          <w:b/>
          <w:bCs/>
        </w:rPr>
        <w:t>il rialzo dei tassi di interesse sta oggi determinando una riduzione della domanda di prestiti da parte delle imprese e condizioni di accesso al credito decisamente più restrittive.</w:t>
      </w:r>
      <w:r w:rsidRPr="00FA476C">
        <w:rPr>
          <w:rFonts w:ascii="Calibri" w:hAnsi="Calibri" w:cs="Calibri"/>
        </w:rPr>
        <w:t xml:space="preserve"> Questo crea una serie tensioni finanziarie sulle imprese</w:t>
      </w:r>
      <w:r w:rsidR="00B33B00" w:rsidRPr="00FA476C">
        <w:rPr>
          <w:rFonts w:ascii="Calibri" w:hAnsi="Calibri" w:cs="Calibri"/>
        </w:rPr>
        <w:t>,</w:t>
      </w:r>
      <w:r w:rsidRPr="00FA476C">
        <w:rPr>
          <w:rFonts w:ascii="Calibri" w:hAnsi="Calibri" w:cs="Calibri"/>
        </w:rPr>
        <w:t xml:space="preserve"> che hanno contratto finanziamenti a tasso variabile e si sono indebitate per far fronte alla crisi degli ultimi tre anni. In tale contesto, </w:t>
      </w:r>
      <w:r w:rsidRPr="00FA476C">
        <w:rPr>
          <w:rFonts w:ascii="Calibri" w:hAnsi="Calibri" w:cs="Calibri"/>
          <w:b/>
          <w:bCs/>
        </w:rPr>
        <w:t>è necessario intervenire per assicurare la sostenibilità del debito in essere delle imprese, favorendo operazioni di rinegoziazione e allungamento dei finanziamenti, incluse moratorie</w:t>
      </w:r>
      <w:r w:rsidRPr="00FA476C">
        <w:rPr>
          <w:rFonts w:ascii="Calibri" w:hAnsi="Calibri" w:cs="Calibri"/>
        </w:rPr>
        <w:t xml:space="preserve">. A tal fine, sono tuttavia necessarie modifiche alle regole bancarie europee (in particolare della definizione di default), che scoraggiano tali operazioni. Occorre poi rivedere le regole temporanee europee sugli aiuti per consentire un allungamento della durata dei finanziamenti garantiti dallo Stato, sia in essere sia nuovi. </w:t>
      </w:r>
    </w:p>
    <w:p w14:paraId="76AF2121" w14:textId="77777777" w:rsidR="00647C35" w:rsidRPr="00FA476C" w:rsidRDefault="00647C35" w:rsidP="00DC2B22">
      <w:pPr>
        <w:spacing w:beforeLines="120" w:before="288" w:after="0" w:line="240" w:lineRule="auto"/>
        <w:contextualSpacing/>
        <w:jc w:val="both"/>
        <w:rPr>
          <w:rFonts w:ascii="Calibri" w:hAnsi="Calibri" w:cs="Calibri"/>
        </w:rPr>
      </w:pPr>
    </w:p>
    <w:p w14:paraId="34463DD8" w14:textId="3716C67F" w:rsidR="00647C35" w:rsidRPr="00FA476C" w:rsidRDefault="00647C35" w:rsidP="00B33B00">
      <w:pPr>
        <w:spacing w:beforeLines="120" w:before="288" w:after="0" w:line="240" w:lineRule="auto"/>
        <w:contextualSpacing/>
        <w:jc w:val="both"/>
        <w:rPr>
          <w:rFonts w:ascii="Calibri" w:hAnsi="Calibri" w:cs="Calibri"/>
        </w:rPr>
      </w:pPr>
      <w:r w:rsidRPr="00FA476C">
        <w:rPr>
          <w:rFonts w:ascii="Calibri" w:hAnsi="Calibri" w:cs="Calibri"/>
          <w:b/>
          <w:bCs/>
        </w:rPr>
        <w:t xml:space="preserve">Vanno </w:t>
      </w:r>
      <w:r w:rsidR="00B33B00" w:rsidRPr="00FA476C">
        <w:rPr>
          <w:rFonts w:ascii="Calibri" w:hAnsi="Calibri" w:cs="Calibri"/>
          <w:b/>
          <w:bCs/>
        </w:rPr>
        <w:t>poi</w:t>
      </w:r>
      <w:r w:rsidRPr="00FA476C">
        <w:rPr>
          <w:rFonts w:ascii="Calibri" w:hAnsi="Calibri" w:cs="Calibri"/>
          <w:b/>
          <w:bCs/>
        </w:rPr>
        <w:t xml:space="preserve"> rafforzate le garanzie pubbliche. </w:t>
      </w:r>
      <w:r w:rsidRPr="00FA476C">
        <w:rPr>
          <w:rFonts w:ascii="Calibri" w:hAnsi="Calibri" w:cs="Calibri"/>
        </w:rPr>
        <w:t xml:space="preserve">In particolare, per quanto riguarda il </w:t>
      </w:r>
      <w:r w:rsidRPr="00FA476C">
        <w:rPr>
          <w:rFonts w:ascii="Calibri" w:hAnsi="Calibri" w:cs="Calibri"/>
          <w:b/>
          <w:bCs/>
        </w:rPr>
        <w:t>Fondo di Garanzia</w:t>
      </w:r>
      <w:r w:rsidRPr="00FA476C">
        <w:rPr>
          <w:rFonts w:ascii="Calibri" w:hAnsi="Calibri" w:cs="Calibri"/>
        </w:rPr>
        <w:t xml:space="preserve"> per le PMI, occorre intervenire per prevedere la gratuità di accesso per tutte le operazioni finanziarie, elevare le coperture di garanzia e innalzare l’importo massimo garantito.</w:t>
      </w:r>
      <w:r w:rsidR="00B33B00" w:rsidRPr="00FA476C">
        <w:rPr>
          <w:rFonts w:ascii="Calibri" w:hAnsi="Calibri" w:cs="Calibri"/>
        </w:rPr>
        <w:t xml:space="preserve"> </w:t>
      </w:r>
      <w:r w:rsidRPr="00FA476C">
        <w:rPr>
          <w:rFonts w:ascii="Calibri" w:hAnsi="Calibri" w:cs="Calibri"/>
        </w:rPr>
        <w:t xml:space="preserve">Le condizioni del credito in peggioramento rafforzano la necessità per le PMI di ricorrere maggiormente a strumenti di </w:t>
      </w:r>
      <w:r w:rsidRPr="00FA476C">
        <w:rPr>
          <w:rFonts w:ascii="Calibri" w:hAnsi="Calibri" w:cs="Calibri"/>
          <w:b/>
          <w:bCs/>
        </w:rPr>
        <w:t>finanza alternativa</w:t>
      </w:r>
      <w:r w:rsidRPr="00FA476C">
        <w:rPr>
          <w:rFonts w:ascii="Calibri" w:hAnsi="Calibri" w:cs="Calibri"/>
        </w:rPr>
        <w:t>, aprendo il proprio capitale a investitori esterni. Per questo</w:t>
      </w:r>
      <w:r w:rsidR="00B33B00" w:rsidRPr="00FA476C">
        <w:rPr>
          <w:rFonts w:ascii="Calibri" w:hAnsi="Calibri" w:cs="Calibri"/>
        </w:rPr>
        <w:t>,</w:t>
      </w:r>
      <w:r w:rsidRPr="00FA476C">
        <w:rPr>
          <w:rFonts w:ascii="Calibri" w:hAnsi="Calibri" w:cs="Calibri"/>
        </w:rPr>
        <w:t xml:space="preserve"> serve un set integrato di misure, in grado di raggiungere le diverse tipologie e classi dimensionali di imprese e di attivare sempre più il risparmio privato. Per farlo, è </w:t>
      </w:r>
      <w:r w:rsidRPr="00FA476C">
        <w:rPr>
          <w:rFonts w:ascii="Calibri" w:hAnsi="Calibri" w:cs="Calibri"/>
        </w:rPr>
        <w:lastRenderedPageBreak/>
        <w:t xml:space="preserve">necessario che le imprese sviluppino maggiori capacità di comunicare al mercato e una governance adeguata, cui è possibile tendere, anche in questo caso, rafforzando il proprio </w:t>
      </w:r>
      <w:r w:rsidR="004064A3" w:rsidRPr="00FA476C">
        <w:rPr>
          <w:rFonts w:ascii="Calibri" w:hAnsi="Calibri" w:cs="Calibri"/>
        </w:rPr>
        <w:t xml:space="preserve">livello </w:t>
      </w:r>
      <w:r w:rsidRPr="00FA476C">
        <w:rPr>
          <w:rFonts w:ascii="Calibri" w:hAnsi="Calibri" w:cs="Calibri"/>
        </w:rPr>
        <w:t xml:space="preserve">di </w:t>
      </w:r>
      <w:proofErr w:type="spellStart"/>
      <w:r w:rsidRPr="00FA476C">
        <w:rPr>
          <w:rFonts w:ascii="Calibri" w:hAnsi="Calibri" w:cs="Calibri"/>
        </w:rPr>
        <w:t>managerializzazione</w:t>
      </w:r>
      <w:proofErr w:type="spellEnd"/>
      <w:r w:rsidRPr="00FA476C">
        <w:rPr>
          <w:rFonts w:ascii="Calibri" w:hAnsi="Calibri" w:cs="Calibri"/>
        </w:rPr>
        <w:t xml:space="preserve">. </w:t>
      </w:r>
    </w:p>
    <w:p w14:paraId="05BF4450" w14:textId="77777777" w:rsidR="00647C35" w:rsidRPr="00FA476C" w:rsidRDefault="00647C35" w:rsidP="00DC2B22">
      <w:pPr>
        <w:autoSpaceDE w:val="0"/>
        <w:autoSpaceDN w:val="0"/>
        <w:adjustRightInd w:val="0"/>
        <w:spacing w:beforeLines="120" w:before="288" w:after="0" w:line="240" w:lineRule="auto"/>
        <w:contextualSpacing/>
        <w:jc w:val="both"/>
        <w:rPr>
          <w:rFonts w:ascii="Calibri" w:hAnsi="Calibri" w:cs="Calibri"/>
        </w:rPr>
      </w:pPr>
    </w:p>
    <w:p w14:paraId="19FA00CF" w14:textId="22306340" w:rsidR="0015701E" w:rsidRPr="00FA476C" w:rsidRDefault="004064A3" w:rsidP="00331BB9">
      <w:pPr>
        <w:spacing w:beforeLines="120" w:before="288" w:after="0" w:line="240" w:lineRule="auto"/>
        <w:contextualSpacing/>
        <w:jc w:val="both"/>
        <w:rPr>
          <w:rFonts w:ascii="Calibri" w:hAnsi="Calibri" w:cs="Calibri"/>
        </w:rPr>
      </w:pPr>
      <w:r w:rsidRPr="00FA476C">
        <w:rPr>
          <w:rFonts w:ascii="Calibri" w:hAnsi="Calibri" w:cs="Calibri"/>
        </w:rPr>
        <w:t>Infine</w:t>
      </w:r>
      <w:r w:rsidR="00647C35" w:rsidRPr="00FA476C">
        <w:rPr>
          <w:rFonts w:ascii="Calibri" w:hAnsi="Calibri" w:cs="Calibri"/>
        </w:rPr>
        <w:t xml:space="preserve">, </w:t>
      </w:r>
      <w:r w:rsidR="00647C35" w:rsidRPr="00FA476C">
        <w:rPr>
          <w:rFonts w:ascii="Calibri" w:hAnsi="Calibri" w:cs="Calibri"/>
          <w:b/>
          <w:bCs/>
        </w:rPr>
        <w:t xml:space="preserve">la revisione del sistema nazionale degli incentivi, avviata dal Governo, è condivisibile </w:t>
      </w:r>
      <w:r w:rsidR="00B33B00" w:rsidRPr="00FA476C">
        <w:rPr>
          <w:rFonts w:ascii="Calibri" w:hAnsi="Calibri" w:cs="Calibri"/>
          <w:b/>
          <w:bCs/>
        </w:rPr>
        <w:t xml:space="preserve">nella sua </w:t>
      </w:r>
      <w:r w:rsidR="00647C35" w:rsidRPr="00FA476C">
        <w:rPr>
          <w:rFonts w:ascii="Calibri" w:hAnsi="Calibri" w:cs="Calibri"/>
          <w:b/>
          <w:bCs/>
          <w:i/>
          <w:iCs/>
        </w:rPr>
        <w:t>ratio</w:t>
      </w:r>
      <w:r w:rsidR="00647C35" w:rsidRPr="00FA476C">
        <w:rPr>
          <w:rFonts w:ascii="Calibri" w:hAnsi="Calibri" w:cs="Calibri"/>
          <w:b/>
          <w:bCs/>
        </w:rPr>
        <w:t xml:space="preserve"> di fondo</w:t>
      </w:r>
      <w:r w:rsidR="00B33B00" w:rsidRPr="00FA476C">
        <w:rPr>
          <w:rFonts w:ascii="Calibri" w:hAnsi="Calibri" w:cs="Calibri"/>
        </w:rPr>
        <w:t>:</w:t>
      </w:r>
      <w:r w:rsidR="00647C35" w:rsidRPr="00FA476C">
        <w:rPr>
          <w:rFonts w:ascii="Calibri" w:hAnsi="Calibri" w:cs="Calibri"/>
        </w:rPr>
        <w:t xml:space="preserve"> reimpostare il sistema utilizzando pochi strumenti e semplici, facendo leva quegli schemi agevolativi che, nella pratica, hanno già dimostrato di funzionare in maniera efficace (es. Fondo di Garanzia per le PMI, Nuova Sabatini, FRI), adattandoli, anche con il supporto delle Regioni, alle diverse e specifiche strategie</w:t>
      </w:r>
      <w:r w:rsidR="00B33B00" w:rsidRPr="00FA476C">
        <w:rPr>
          <w:rFonts w:ascii="Calibri" w:hAnsi="Calibri" w:cs="Calibri"/>
        </w:rPr>
        <w:t xml:space="preserve"> ed esig</w:t>
      </w:r>
      <w:r w:rsidRPr="00FA476C">
        <w:rPr>
          <w:rFonts w:ascii="Calibri" w:hAnsi="Calibri" w:cs="Calibri"/>
        </w:rPr>
        <w:t>enze</w:t>
      </w:r>
      <w:r w:rsidR="00647C35" w:rsidRPr="00FA476C">
        <w:rPr>
          <w:rFonts w:ascii="Calibri" w:hAnsi="Calibri" w:cs="Calibri"/>
        </w:rPr>
        <w:t>.</w:t>
      </w:r>
    </w:p>
    <w:sectPr w:rsidR="0015701E" w:rsidRPr="00FA476C" w:rsidSect="00FA47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E02AC"/>
    <w:multiLevelType w:val="multilevel"/>
    <w:tmpl w:val="6E64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C1A7A"/>
    <w:multiLevelType w:val="multilevel"/>
    <w:tmpl w:val="D5B2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8504375">
    <w:abstractNumId w:val="0"/>
  </w:num>
  <w:num w:numId="2" w16cid:durableId="2033649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45"/>
    <w:rsid w:val="00006AAF"/>
    <w:rsid w:val="00017D2C"/>
    <w:rsid w:val="000215F4"/>
    <w:rsid w:val="00021B63"/>
    <w:rsid w:val="000239AC"/>
    <w:rsid w:val="00023D53"/>
    <w:rsid w:val="0003369A"/>
    <w:rsid w:val="00037671"/>
    <w:rsid w:val="0003795F"/>
    <w:rsid w:val="000431D9"/>
    <w:rsid w:val="000449BA"/>
    <w:rsid w:val="00066855"/>
    <w:rsid w:val="00072271"/>
    <w:rsid w:val="000850ED"/>
    <w:rsid w:val="00086B38"/>
    <w:rsid w:val="00086C33"/>
    <w:rsid w:val="00092365"/>
    <w:rsid w:val="000C17CD"/>
    <w:rsid w:val="000C1C15"/>
    <w:rsid w:val="000C7729"/>
    <w:rsid w:val="000D60D8"/>
    <w:rsid w:val="000F6163"/>
    <w:rsid w:val="0010189C"/>
    <w:rsid w:val="001113BA"/>
    <w:rsid w:val="00132D52"/>
    <w:rsid w:val="00136008"/>
    <w:rsid w:val="001403D9"/>
    <w:rsid w:val="001416E8"/>
    <w:rsid w:val="00141D31"/>
    <w:rsid w:val="00142701"/>
    <w:rsid w:val="001433D3"/>
    <w:rsid w:val="0015011A"/>
    <w:rsid w:val="00150210"/>
    <w:rsid w:val="00150F40"/>
    <w:rsid w:val="0015701E"/>
    <w:rsid w:val="0016147A"/>
    <w:rsid w:val="00161840"/>
    <w:rsid w:val="0016301D"/>
    <w:rsid w:val="00192EE6"/>
    <w:rsid w:val="001A4A73"/>
    <w:rsid w:val="001B23A8"/>
    <w:rsid w:val="001C6524"/>
    <w:rsid w:val="001D49E9"/>
    <w:rsid w:val="001D64B0"/>
    <w:rsid w:val="001F70B0"/>
    <w:rsid w:val="002034CF"/>
    <w:rsid w:val="002129E9"/>
    <w:rsid w:val="002139DA"/>
    <w:rsid w:val="002173DA"/>
    <w:rsid w:val="002178AC"/>
    <w:rsid w:val="00220BD9"/>
    <w:rsid w:val="00224625"/>
    <w:rsid w:val="00226C45"/>
    <w:rsid w:val="0024346C"/>
    <w:rsid w:val="002440C1"/>
    <w:rsid w:val="002524C0"/>
    <w:rsid w:val="0025300E"/>
    <w:rsid w:val="00255115"/>
    <w:rsid w:val="00272F7E"/>
    <w:rsid w:val="00275787"/>
    <w:rsid w:val="002776F8"/>
    <w:rsid w:val="002871FA"/>
    <w:rsid w:val="00291783"/>
    <w:rsid w:val="002C0091"/>
    <w:rsid w:val="002C499C"/>
    <w:rsid w:val="002C4DDF"/>
    <w:rsid w:val="002D0D60"/>
    <w:rsid w:val="002D6B18"/>
    <w:rsid w:val="002E0157"/>
    <w:rsid w:val="002E1645"/>
    <w:rsid w:val="002E46E2"/>
    <w:rsid w:val="002F08FB"/>
    <w:rsid w:val="002F1B8E"/>
    <w:rsid w:val="002F2B9F"/>
    <w:rsid w:val="00306CB1"/>
    <w:rsid w:val="003248FC"/>
    <w:rsid w:val="00331BB9"/>
    <w:rsid w:val="00337E17"/>
    <w:rsid w:val="00343103"/>
    <w:rsid w:val="003468D6"/>
    <w:rsid w:val="00346D01"/>
    <w:rsid w:val="00347E3F"/>
    <w:rsid w:val="00372C92"/>
    <w:rsid w:val="00373022"/>
    <w:rsid w:val="003818CB"/>
    <w:rsid w:val="003933B8"/>
    <w:rsid w:val="00395FB4"/>
    <w:rsid w:val="003A628F"/>
    <w:rsid w:val="003A7E23"/>
    <w:rsid w:val="003C7A66"/>
    <w:rsid w:val="003D2066"/>
    <w:rsid w:val="003D46D0"/>
    <w:rsid w:val="003E0A72"/>
    <w:rsid w:val="003E1DF8"/>
    <w:rsid w:val="003E2C0C"/>
    <w:rsid w:val="003E44FF"/>
    <w:rsid w:val="003F13EB"/>
    <w:rsid w:val="003F20A8"/>
    <w:rsid w:val="003F28BB"/>
    <w:rsid w:val="003F37ED"/>
    <w:rsid w:val="004056E4"/>
    <w:rsid w:val="0040598E"/>
    <w:rsid w:val="004064A3"/>
    <w:rsid w:val="00410096"/>
    <w:rsid w:val="0041465A"/>
    <w:rsid w:val="00424206"/>
    <w:rsid w:val="00426575"/>
    <w:rsid w:val="00426AD7"/>
    <w:rsid w:val="00436AC3"/>
    <w:rsid w:val="00455E0F"/>
    <w:rsid w:val="004600EE"/>
    <w:rsid w:val="0047092C"/>
    <w:rsid w:val="004854A2"/>
    <w:rsid w:val="00485DE5"/>
    <w:rsid w:val="00490C45"/>
    <w:rsid w:val="004916CE"/>
    <w:rsid w:val="004A6372"/>
    <w:rsid w:val="004B06F2"/>
    <w:rsid w:val="004B23BF"/>
    <w:rsid w:val="004B4798"/>
    <w:rsid w:val="004B486F"/>
    <w:rsid w:val="004C08F1"/>
    <w:rsid w:val="004C45F9"/>
    <w:rsid w:val="004D1A49"/>
    <w:rsid w:val="004D5E2D"/>
    <w:rsid w:val="004D66B9"/>
    <w:rsid w:val="004E67CA"/>
    <w:rsid w:val="004F3A1F"/>
    <w:rsid w:val="004F6FB3"/>
    <w:rsid w:val="005001AB"/>
    <w:rsid w:val="005177FF"/>
    <w:rsid w:val="00522649"/>
    <w:rsid w:val="005312E6"/>
    <w:rsid w:val="005426C1"/>
    <w:rsid w:val="00542E98"/>
    <w:rsid w:val="005430AE"/>
    <w:rsid w:val="00544330"/>
    <w:rsid w:val="005578C0"/>
    <w:rsid w:val="00560255"/>
    <w:rsid w:val="005659CB"/>
    <w:rsid w:val="005667D8"/>
    <w:rsid w:val="005844D6"/>
    <w:rsid w:val="00590320"/>
    <w:rsid w:val="00592E3E"/>
    <w:rsid w:val="005B140C"/>
    <w:rsid w:val="005C2BDE"/>
    <w:rsid w:val="005C2E8E"/>
    <w:rsid w:val="005D4E43"/>
    <w:rsid w:val="005E0304"/>
    <w:rsid w:val="005E51AA"/>
    <w:rsid w:val="005E7F94"/>
    <w:rsid w:val="00605CC8"/>
    <w:rsid w:val="00620104"/>
    <w:rsid w:val="00621AA2"/>
    <w:rsid w:val="00623ED4"/>
    <w:rsid w:val="00634975"/>
    <w:rsid w:val="00637FF7"/>
    <w:rsid w:val="00647C35"/>
    <w:rsid w:val="006534A5"/>
    <w:rsid w:val="00661DFC"/>
    <w:rsid w:val="00666210"/>
    <w:rsid w:val="0067698C"/>
    <w:rsid w:val="00694ABD"/>
    <w:rsid w:val="006A1D66"/>
    <w:rsid w:val="006A49C5"/>
    <w:rsid w:val="006A638C"/>
    <w:rsid w:val="006B350C"/>
    <w:rsid w:val="006B5089"/>
    <w:rsid w:val="006B7379"/>
    <w:rsid w:val="006C0FB3"/>
    <w:rsid w:val="006C3D4D"/>
    <w:rsid w:val="006C6CA7"/>
    <w:rsid w:val="006D19F4"/>
    <w:rsid w:val="006E0922"/>
    <w:rsid w:val="006E2752"/>
    <w:rsid w:val="006E7A58"/>
    <w:rsid w:val="007132FC"/>
    <w:rsid w:val="00713E0B"/>
    <w:rsid w:val="00715D03"/>
    <w:rsid w:val="0071688D"/>
    <w:rsid w:val="00716A73"/>
    <w:rsid w:val="00721E35"/>
    <w:rsid w:val="00724FA8"/>
    <w:rsid w:val="00727DE5"/>
    <w:rsid w:val="0073768B"/>
    <w:rsid w:val="00770A4B"/>
    <w:rsid w:val="007743CA"/>
    <w:rsid w:val="00776001"/>
    <w:rsid w:val="00796130"/>
    <w:rsid w:val="00797B31"/>
    <w:rsid w:val="00797FEA"/>
    <w:rsid w:val="007A52FA"/>
    <w:rsid w:val="007B0EBE"/>
    <w:rsid w:val="007B5E23"/>
    <w:rsid w:val="007C1B30"/>
    <w:rsid w:val="007D1CCF"/>
    <w:rsid w:val="007D37EE"/>
    <w:rsid w:val="007D6B8D"/>
    <w:rsid w:val="007E06FC"/>
    <w:rsid w:val="007F1708"/>
    <w:rsid w:val="00802D89"/>
    <w:rsid w:val="008069D6"/>
    <w:rsid w:val="00825277"/>
    <w:rsid w:val="00826432"/>
    <w:rsid w:val="00835CD8"/>
    <w:rsid w:val="00836394"/>
    <w:rsid w:val="00852FC0"/>
    <w:rsid w:val="00853E57"/>
    <w:rsid w:val="0085486B"/>
    <w:rsid w:val="00855798"/>
    <w:rsid w:val="00857503"/>
    <w:rsid w:val="00861D9D"/>
    <w:rsid w:val="00867B4C"/>
    <w:rsid w:val="008741E0"/>
    <w:rsid w:val="008802C9"/>
    <w:rsid w:val="008845A5"/>
    <w:rsid w:val="00887EDC"/>
    <w:rsid w:val="008A1E46"/>
    <w:rsid w:val="008B496B"/>
    <w:rsid w:val="008C05B2"/>
    <w:rsid w:val="008C37C4"/>
    <w:rsid w:val="008D2F48"/>
    <w:rsid w:val="008E12C4"/>
    <w:rsid w:val="008E5D39"/>
    <w:rsid w:val="008F7DC3"/>
    <w:rsid w:val="0090447E"/>
    <w:rsid w:val="00912932"/>
    <w:rsid w:val="00912EC3"/>
    <w:rsid w:val="00920619"/>
    <w:rsid w:val="0093533E"/>
    <w:rsid w:val="009409ED"/>
    <w:rsid w:val="0094271B"/>
    <w:rsid w:val="00953DF6"/>
    <w:rsid w:val="009548C1"/>
    <w:rsid w:val="009556BA"/>
    <w:rsid w:val="00974F3D"/>
    <w:rsid w:val="00975812"/>
    <w:rsid w:val="009935CC"/>
    <w:rsid w:val="009A0ADD"/>
    <w:rsid w:val="009B53E4"/>
    <w:rsid w:val="009B60B0"/>
    <w:rsid w:val="009C3EF5"/>
    <w:rsid w:val="009C5BB0"/>
    <w:rsid w:val="009D2A80"/>
    <w:rsid w:val="009D4DD6"/>
    <w:rsid w:val="009D6745"/>
    <w:rsid w:val="009E33C8"/>
    <w:rsid w:val="009E537F"/>
    <w:rsid w:val="009F3D06"/>
    <w:rsid w:val="009F3EC6"/>
    <w:rsid w:val="00A00F2C"/>
    <w:rsid w:val="00A03B5E"/>
    <w:rsid w:val="00A03DA8"/>
    <w:rsid w:val="00A31CC3"/>
    <w:rsid w:val="00A32107"/>
    <w:rsid w:val="00A347FE"/>
    <w:rsid w:val="00A411BE"/>
    <w:rsid w:val="00A428D5"/>
    <w:rsid w:val="00A50484"/>
    <w:rsid w:val="00A51389"/>
    <w:rsid w:val="00A56D0F"/>
    <w:rsid w:val="00A63674"/>
    <w:rsid w:val="00A655E1"/>
    <w:rsid w:val="00A66DE8"/>
    <w:rsid w:val="00A733A4"/>
    <w:rsid w:val="00A8189C"/>
    <w:rsid w:val="00A860DB"/>
    <w:rsid w:val="00A952B1"/>
    <w:rsid w:val="00AA4966"/>
    <w:rsid w:val="00AA742F"/>
    <w:rsid w:val="00AB0836"/>
    <w:rsid w:val="00AB12FD"/>
    <w:rsid w:val="00AB31A6"/>
    <w:rsid w:val="00AB5871"/>
    <w:rsid w:val="00AB6EF5"/>
    <w:rsid w:val="00AC2C1B"/>
    <w:rsid w:val="00AC2D07"/>
    <w:rsid w:val="00AC5B54"/>
    <w:rsid w:val="00AD393F"/>
    <w:rsid w:val="00AE7A02"/>
    <w:rsid w:val="00AF6B64"/>
    <w:rsid w:val="00B16CE2"/>
    <w:rsid w:val="00B24E60"/>
    <w:rsid w:val="00B33B00"/>
    <w:rsid w:val="00B36E20"/>
    <w:rsid w:val="00B3762B"/>
    <w:rsid w:val="00B429B3"/>
    <w:rsid w:val="00B54DC9"/>
    <w:rsid w:val="00B578C6"/>
    <w:rsid w:val="00B65642"/>
    <w:rsid w:val="00B82F40"/>
    <w:rsid w:val="00B861F6"/>
    <w:rsid w:val="00BB02AC"/>
    <w:rsid w:val="00BB4900"/>
    <w:rsid w:val="00BB6F71"/>
    <w:rsid w:val="00BC3330"/>
    <w:rsid w:val="00BC6038"/>
    <w:rsid w:val="00BC6BA2"/>
    <w:rsid w:val="00BD3B3D"/>
    <w:rsid w:val="00BD562D"/>
    <w:rsid w:val="00BD79AA"/>
    <w:rsid w:val="00BE670A"/>
    <w:rsid w:val="00C009CD"/>
    <w:rsid w:val="00C02380"/>
    <w:rsid w:val="00C03199"/>
    <w:rsid w:val="00C05E94"/>
    <w:rsid w:val="00C12D5C"/>
    <w:rsid w:val="00C16B81"/>
    <w:rsid w:val="00C274BD"/>
    <w:rsid w:val="00C34333"/>
    <w:rsid w:val="00C42252"/>
    <w:rsid w:val="00C5115A"/>
    <w:rsid w:val="00C54678"/>
    <w:rsid w:val="00C601A2"/>
    <w:rsid w:val="00C62BFC"/>
    <w:rsid w:val="00C70E2C"/>
    <w:rsid w:val="00C8027A"/>
    <w:rsid w:val="00C82823"/>
    <w:rsid w:val="00C91F9E"/>
    <w:rsid w:val="00CA021B"/>
    <w:rsid w:val="00CA110A"/>
    <w:rsid w:val="00CA41D3"/>
    <w:rsid w:val="00CA4BE5"/>
    <w:rsid w:val="00CA67BE"/>
    <w:rsid w:val="00CB3716"/>
    <w:rsid w:val="00CC3664"/>
    <w:rsid w:val="00CE5CC2"/>
    <w:rsid w:val="00D111DF"/>
    <w:rsid w:val="00D22186"/>
    <w:rsid w:val="00D23A1E"/>
    <w:rsid w:val="00D34298"/>
    <w:rsid w:val="00D35369"/>
    <w:rsid w:val="00D45DEA"/>
    <w:rsid w:val="00D50CCA"/>
    <w:rsid w:val="00D56565"/>
    <w:rsid w:val="00D61036"/>
    <w:rsid w:val="00D632CF"/>
    <w:rsid w:val="00D669E6"/>
    <w:rsid w:val="00D86E5E"/>
    <w:rsid w:val="00D91784"/>
    <w:rsid w:val="00D954E5"/>
    <w:rsid w:val="00D95936"/>
    <w:rsid w:val="00DA60C1"/>
    <w:rsid w:val="00DA6EDD"/>
    <w:rsid w:val="00DA7846"/>
    <w:rsid w:val="00DC0AAD"/>
    <w:rsid w:val="00DC2B22"/>
    <w:rsid w:val="00DC4A15"/>
    <w:rsid w:val="00DC7F76"/>
    <w:rsid w:val="00DD723E"/>
    <w:rsid w:val="00DE23FF"/>
    <w:rsid w:val="00DF0D8C"/>
    <w:rsid w:val="00DF4D38"/>
    <w:rsid w:val="00E00D94"/>
    <w:rsid w:val="00E07B17"/>
    <w:rsid w:val="00E100B2"/>
    <w:rsid w:val="00E1763F"/>
    <w:rsid w:val="00E179AC"/>
    <w:rsid w:val="00E262A7"/>
    <w:rsid w:val="00E325D3"/>
    <w:rsid w:val="00E32D5D"/>
    <w:rsid w:val="00E45C05"/>
    <w:rsid w:val="00E5214B"/>
    <w:rsid w:val="00E568DB"/>
    <w:rsid w:val="00E56D46"/>
    <w:rsid w:val="00E6651E"/>
    <w:rsid w:val="00E92503"/>
    <w:rsid w:val="00E93B69"/>
    <w:rsid w:val="00EA7D5A"/>
    <w:rsid w:val="00EB568F"/>
    <w:rsid w:val="00EC4438"/>
    <w:rsid w:val="00ED27C7"/>
    <w:rsid w:val="00ED2FF4"/>
    <w:rsid w:val="00ED5983"/>
    <w:rsid w:val="00ED6698"/>
    <w:rsid w:val="00EF2DE9"/>
    <w:rsid w:val="00F005CE"/>
    <w:rsid w:val="00F006C7"/>
    <w:rsid w:val="00F014F3"/>
    <w:rsid w:val="00F04324"/>
    <w:rsid w:val="00F0594D"/>
    <w:rsid w:val="00F15C81"/>
    <w:rsid w:val="00F339AB"/>
    <w:rsid w:val="00F34B2E"/>
    <w:rsid w:val="00F4389B"/>
    <w:rsid w:val="00F474C1"/>
    <w:rsid w:val="00F5305C"/>
    <w:rsid w:val="00F566FB"/>
    <w:rsid w:val="00F64323"/>
    <w:rsid w:val="00F651A5"/>
    <w:rsid w:val="00F715B7"/>
    <w:rsid w:val="00F76CE1"/>
    <w:rsid w:val="00F80498"/>
    <w:rsid w:val="00F805DC"/>
    <w:rsid w:val="00F90AE4"/>
    <w:rsid w:val="00FA0713"/>
    <w:rsid w:val="00FA08CA"/>
    <w:rsid w:val="00FA0F0B"/>
    <w:rsid w:val="00FA476C"/>
    <w:rsid w:val="00FB024A"/>
    <w:rsid w:val="00FB3427"/>
    <w:rsid w:val="00FB5565"/>
    <w:rsid w:val="00FB61BD"/>
    <w:rsid w:val="00FB75CB"/>
    <w:rsid w:val="00FC736F"/>
    <w:rsid w:val="00FC7D26"/>
    <w:rsid w:val="00FD5B61"/>
    <w:rsid w:val="00FD7BD1"/>
    <w:rsid w:val="00FE37C4"/>
    <w:rsid w:val="00FE7763"/>
    <w:rsid w:val="221A7D65"/>
    <w:rsid w:val="3DE1FEF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4931"/>
  <w15:chartTrackingRefBased/>
  <w15:docId w15:val="{229A9C14-F231-4218-9D70-AE33DF5F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ui-provider">
    <w:name w:val="ui-provider"/>
    <w:basedOn w:val="Carpredefinitoparagrafo"/>
    <w:rsid w:val="00F0594D"/>
  </w:style>
  <w:style w:type="paragraph" w:styleId="NormaleWeb">
    <w:name w:val="Normal (Web)"/>
    <w:basedOn w:val="Normale"/>
    <w:uiPriority w:val="99"/>
    <w:semiHidden/>
    <w:unhideWhenUsed/>
    <w:rsid w:val="00AC2D0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F014F3"/>
    <w:pPr>
      <w:ind w:left="720"/>
      <w:contextualSpacing/>
    </w:pPr>
  </w:style>
  <w:style w:type="character" w:styleId="Rimandocommento">
    <w:name w:val="annotation reference"/>
    <w:basedOn w:val="Carpredefinitoparagrafo"/>
    <w:uiPriority w:val="99"/>
    <w:semiHidden/>
    <w:unhideWhenUsed/>
    <w:rsid w:val="00E32D5D"/>
    <w:rPr>
      <w:sz w:val="16"/>
      <w:szCs w:val="16"/>
    </w:rPr>
  </w:style>
  <w:style w:type="paragraph" w:styleId="Testocommento">
    <w:name w:val="annotation text"/>
    <w:basedOn w:val="Normale"/>
    <w:link w:val="TestocommentoCarattere"/>
    <w:uiPriority w:val="99"/>
    <w:unhideWhenUsed/>
    <w:rsid w:val="00E32D5D"/>
    <w:pPr>
      <w:spacing w:line="240" w:lineRule="auto"/>
    </w:pPr>
    <w:rPr>
      <w:sz w:val="20"/>
      <w:szCs w:val="20"/>
    </w:rPr>
  </w:style>
  <w:style w:type="character" w:customStyle="1" w:styleId="TestocommentoCarattere">
    <w:name w:val="Testo commento Carattere"/>
    <w:basedOn w:val="Carpredefinitoparagrafo"/>
    <w:link w:val="Testocommento"/>
    <w:uiPriority w:val="99"/>
    <w:rsid w:val="00E32D5D"/>
    <w:rPr>
      <w:sz w:val="20"/>
      <w:szCs w:val="20"/>
    </w:rPr>
  </w:style>
  <w:style w:type="paragraph" w:styleId="Soggettocommento">
    <w:name w:val="annotation subject"/>
    <w:basedOn w:val="Testocommento"/>
    <w:next w:val="Testocommento"/>
    <w:link w:val="SoggettocommentoCarattere"/>
    <w:uiPriority w:val="99"/>
    <w:semiHidden/>
    <w:unhideWhenUsed/>
    <w:rsid w:val="00E32D5D"/>
    <w:rPr>
      <w:b/>
      <w:bCs/>
    </w:rPr>
  </w:style>
  <w:style w:type="character" w:customStyle="1" w:styleId="SoggettocommentoCarattere">
    <w:name w:val="Soggetto commento Carattere"/>
    <w:basedOn w:val="TestocommentoCarattere"/>
    <w:link w:val="Soggettocommento"/>
    <w:uiPriority w:val="99"/>
    <w:semiHidden/>
    <w:rsid w:val="00E32D5D"/>
    <w:rPr>
      <w:b/>
      <w:bCs/>
      <w:sz w:val="20"/>
      <w:szCs w:val="20"/>
    </w:rPr>
  </w:style>
  <w:style w:type="paragraph" w:styleId="Revisione">
    <w:name w:val="Revision"/>
    <w:hidden/>
    <w:uiPriority w:val="99"/>
    <w:semiHidden/>
    <w:rsid w:val="004064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62089">
      <w:bodyDiv w:val="1"/>
      <w:marLeft w:val="0"/>
      <w:marRight w:val="0"/>
      <w:marTop w:val="0"/>
      <w:marBottom w:val="0"/>
      <w:divBdr>
        <w:top w:val="none" w:sz="0" w:space="0" w:color="auto"/>
        <w:left w:val="none" w:sz="0" w:space="0" w:color="auto"/>
        <w:bottom w:val="none" w:sz="0" w:space="0" w:color="auto"/>
        <w:right w:val="none" w:sz="0" w:space="0" w:color="auto"/>
      </w:divBdr>
    </w:div>
    <w:div w:id="835807370">
      <w:bodyDiv w:val="1"/>
      <w:marLeft w:val="0"/>
      <w:marRight w:val="0"/>
      <w:marTop w:val="0"/>
      <w:marBottom w:val="0"/>
      <w:divBdr>
        <w:top w:val="none" w:sz="0" w:space="0" w:color="auto"/>
        <w:left w:val="none" w:sz="0" w:space="0" w:color="auto"/>
        <w:bottom w:val="none" w:sz="0" w:space="0" w:color="auto"/>
        <w:right w:val="none" w:sz="0" w:space="0" w:color="auto"/>
      </w:divBdr>
    </w:div>
    <w:div w:id="1729764404">
      <w:bodyDiv w:val="1"/>
      <w:marLeft w:val="0"/>
      <w:marRight w:val="0"/>
      <w:marTop w:val="0"/>
      <w:marBottom w:val="0"/>
      <w:divBdr>
        <w:top w:val="none" w:sz="0" w:space="0" w:color="auto"/>
        <w:left w:val="none" w:sz="0" w:space="0" w:color="auto"/>
        <w:bottom w:val="none" w:sz="0" w:space="0" w:color="auto"/>
        <w:right w:val="none" w:sz="0" w:space="0" w:color="auto"/>
      </w:divBdr>
    </w:div>
    <w:div w:id="198496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C9ED361A5EDC242ADE2919D48E79BC7" ma:contentTypeVersion="2" ma:contentTypeDescription="Creare un nuovo documento." ma:contentTypeScope="" ma:versionID="998952b3fe43d3522cf645ac8e44096c">
  <xsd:schema xmlns:xsd="http://www.w3.org/2001/XMLSchema" xmlns:xs="http://www.w3.org/2001/XMLSchema" xmlns:p="http://schemas.microsoft.com/office/2006/metadata/properties" xmlns:ns2="6dcd7f03-fc34-42c0-ae65-44fc7221e8d0" targetNamespace="http://schemas.microsoft.com/office/2006/metadata/properties" ma:root="true" ma:fieldsID="0c3c75c0d39a9ad15dcc0d912d2154ce" ns2:_="">
    <xsd:import namespace="6dcd7f03-fc34-42c0-ae65-44fc7221e8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d7f03-fc34-42c0-ae65-44fc7221e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F4BB5-E9E3-47EE-A6FB-76E5C65FF8F9}">
  <ds:schemaRefs>
    <ds:schemaRef ds:uri="http://schemas.openxmlformats.org/officeDocument/2006/bibliography"/>
  </ds:schemaRefs>
</ds:datastoreItem>
</file>

<file path=customXml/itemProps2.xml><?xml version="1.0" encoding="utf-8"?>
<ds:datastoreItem xmlns:ds="http://schemas.openxmlformats.org/officeDocument/2006/customXml" ds:itemID="{88544ABC-B4FF-4ADD-997C-859C6A10A2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DE280B-565F-4907-9B67-04FFD8BF0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d7f03-fc34-42c0-ae65-44fc7221e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9B824-1332-4EA8-AC52-7719AD5C36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1423</Words>
  <Characters>8116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Sarandrea Marco</dc:creator>
  <cp:keywords/>
  <dc:description/>
  <cp:lastModifiedBy>Giusti Clio</cp:lastModifiedBy>
  <cp:revision>3</cp:revision>
  <cp:lastPrinted>2023-06-27T12:57:00Z</cp:lastPrinted>
  <dcterms:created xsi:type="dcterms:W3CDTF">2023-06-27T16:07:00Z</dcterms:created>
  <dcterms:modified xsi:type="dcterms:W3CDTF">2023-06-28T08:35:00Z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0x010100DC9ED361A5EDC242ADE2919D48E79BC7</vt:lpwstr>
  </property>
</Properties>
</file>